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07943" w14:textId="4D682878" w:rsidR="00E772AA" w:rsidRDefault="00BE13A1" w:rsidP="00E772AA">
      <w:pPr>
        <w:pStyle w:val="BodyText"/>
      </w:pPr>
      <w:r>
        <w:tab/>
      </w:r>
      <w:r>
        <w:tab/>
      </w:r>
      <w:r>
        <w:tab/>
      </w:r>
      <w:r>
        <w:tab/>
      </w:r>
      <w:r>
        <w:tab/>
      </w:r>
      <w:r>
        <w:tab/>
      </w:r>
      <w:r>
        <w:tab/>
      </w:r>
      <w:r w:rsidR="00F04514">
        <w:t xml:space="preserve">   </w:t>
      </w:r>
    </w:p>
    <w:p w14:paraId="2CB8AD6C" w14:textId="1EB69307" w:rsidR="000B2CA5" w:rsidRDefault="000055EB" w:rsidP="00F77754">
      <w:pPr>
        <w:pStyle w:val="Heading1"/>
      </w:pPr>
      <w:r>
        <w:t>‘</w:t>
      </w:r>
      <w:r w:rsidR="00BF785D">
        <w:t>T</w:t>
      </w:r>
      <w:r w:rsidR="00A9601E">
        <w:t>he normal meaning of securities</w:t>
      </w:r>
      <w:r w:rsidR="00664FFA">
        <w:t xml:space="preserve"> is not open to doubt</w:t>
      </w:r>
      <w:r>
        <w:t>’</w:t>
      </w:r>
      <w:r w:rsidR="00664FFA">
        <w:t xml:space="preserve">.  </w:t>
      </w:r>
      <w:r w:rsidR="00F866C1">
        <w:t xml:space="preserve">Lord Cave in </w:t>
      </w:r>
      <w:r w:rsidR="00F866C1" w:rsidRPr="00F866C1">
        <w:rPr>
          <w:i/>
          <w:iCs/>
        </w:rPr>
        <w:t>Singer v Williams</w:t>
      </w:r>
      <w:r w:rsidR="00F866C1">
        <w:t xml:space="preserve"> (1920).  </w:t>
      </w:r>
      <w:r w:rsidR="00664FFA">
        <w:t>Is that right?</w:t>
      </w:r>
    </w:p>
    <w:p w14:paraId="49FE77D8" w14:textId="77777777" w:rsidR="00697D91" w:rsidRDefault="00697D91" w:rsidP="00697D91">
      <w:pPr>
        <w:pStyle w:val="BodyText"/>
      </w:pPr>
    </w:p>
    <w:p w14:paraId="42487315" w14:textId="3FE01CF7" w:rsidR="00697D91" w:rsidRPr="00697D91" w:rsidRDefault="00633BB6" w:rsidP="00697D91">
      <w:pPr>
        <w:pStyle w:val="BodyText"/>
        <w:jc w:val="center"/>
      </w:pPr>
      <w:r>
        <w:t>V</w:t>
      </w:r>
      <w:r w:rsidR="00B65E78">
        <w:t>ictor Baker</w:t>
      </w:r>
      <w:r w:rsidR="00F02F56">
        <w:t>*</w:t>
      </w:r>
    </w:p>
    <w:p w14:paraId="7073CFC2" w14:textId="77777777" w:rsidR="000B2CA5" w:rsidRDefault="00F2624A" w:rsidP="00AE1588">
      <w:pPr>
        <w:pStyle w:val="Heading2"/>
      </w:pPr>
      <w:r>
        <w:t>Introduction</w:t>
      </w:r>
    </w:p>
    <w:p w14:paraId="516717E4" w14:textId="3D593C16" w:rsidR="00581E86" w:rsidRDefault="000B2CA5" w:rsidP="008B42FF">
      <w:pPr>
        <w:pStyle w:val="BodyText"/>
      </w:pPr>
      <w:r w:rsidRPr="00DF79DE">
        <w:rPr>
          <w:i/>
          <w:iCs/>
        </w:rPr>
        <w:t>Th</w:t>
      </w:r>
      <w:r w:rsidR="00E90FE3" w:rsidRPr="00DF79DE">
        <w:rPr>
          <w:i/>
          <w:iCs/>
        </w:rPr>
        <w:t xml:space="preserve">e normal meaning of securities is not </w:t>
      </w:r>
      <w:r w:rsidR="00DF754F" w:rsidRPr="00DF79DE">
        <w:rPr>
          <w:i/>
          <w:iCs/>
        </w:rPr>
        <w:t>o</w:t>
      </w:r>
      <w:r w:rsidR="00E90FE3" w:rsidRPr="00DF79DE">
        <w:rPr>
          <w:i/>
          <w:iCs/>
        </w:rPr>
        <w:t>pen to doubt</w:t>
      </w:r>
      <w:r w:rsidR="00E90FE3">
        <w:t xml:space="preserve">. </w:t>
      </w:r>
      <w:r w:rsidR="00DF754F">
        <w:t xml:space="preserve"> Th</w:t>
      </w:r>
      <w:r w:rsidR="007328FB">
        <w:t>us sp</w:t>
      </w:r>
      <w:r w:rsidR="00064975">
        <w:t>o</w:t>
      </w:r>
      <w:r w:rsidR="007328FB">
        <w:t>ke Lord Cave</w:t>
      </w:r>
      <w:r w:rsidR="003670B5">
        <w:t xml:space="preserve"> </w:t>
      </w:r>
      <w:r w:rsidR="00F507D3">
        <w:t xml:space="preserve">in </w:t>
      </w:r>
      <w:r w:rsidR="00CE4878" w:rsidRPr="00DF754F">
        <w:rPr>
          <w:i/>
          <w:iCs/>
        </w:rPr>
        <w:t>Singer v Williams</w:t>
      </w:r>
      <w:r w:rsidR="00581E86">
        <w:rPr>
          <w:rStyle w:val="FootnoteReference"/>
        </w:rPr>
        <w:footnoteReference w:id="1"/>
      </w:r>
      <w:r w:rsidR="00430734">
        <w:t xml:space="preserve"> </w:t>
      </w:r>
      <w:r w:rsidR="00A32464">
        <w:t>in 1920.  In t</w:t>
      </w:r>
      <w:r w:rsidR="00430734">
        <w:t>hat case</w:t>
      </w:r>
      <w:r w:rsidR="003C38FB">
        <w:t>, t</w:t>
      </w:r>
      <w:r w:rsidR="00ED0A56" w:rsidRPr="00ED0A56">
        <w:t xml:space="preserve">he appellant, who resided in England and was a shareholder in </w:t>
      </w:r>
      <w:r w:rsidR="00CE02B0">
        <w:t>the Singer</w:t>
      </w:r>
      <w:r w:rsidR="00977ED4">
        <w:rPr>
          <w:rStyle w:val="FootnoteReference"/>
        </w:rPr>
        <w:footnoteReference w:id="2"/>
      </w:r>
      <w:r w:rsidR="00CE02B0">
        <w:t xml:space="preserve"> </w:t>
      </w:r>
      <w:r w:rsidR="00856020">
        <w:t>Manufacturing Company of N</w:t>
      </w:r>
      <w:r w:rsidR="00645E32">
        <w:t>ew Jersey</w:t>
      </w:r>
      <w:r w:rsidR="00ED0A56" w:rsidRPr="00ED0A56">
        <w:t>, claimed in respect of his income therefrom to be assessed upon the dividends received during the last financial year and not upon the average dividends of the preceding three years. Held that such income was derived from foreign possessions</w:t>
      </w:r>
      <w:r w:rsidR="003C38FB">
        <w:t xml:space="preserve"> under C</w:t>
      </w:r>
      <w:r w:rsidR="00ED0A56" w:rsidRPr="00ED0A56">
        <w:t xml:space="preserve">ase </w:t>
      </w:r>
      <w:r w:rsidR="003C38FB">
        <w:t>V</w:t>
      </w:r>
      <w:r w:rsidR="00ED0A56" w:rsidRPr="00ED0A56">
        <w:t xml:space="preserve"> of Schedule D</w:t>
      </w:r>
      <w:r w:rsidR="00E8339B">
        <w:t xml:space="preserve"> and not from</w:t>
      </w:r>
      <w:r w:rsidR="00ED0A56" w:rsidRPr="00ED0A56">
        <w:t xml:space="preserve"> foreign securities</w:t>
      </w:r>
      <w:r w:rsidR="00E8339B">
        <w:t xml:space="preserve"> under Case IV</w:t>
      </w:r>
      <w:r w:rsidR="0058504C">
        <w:t>, so</w:t>
      </w:r>
      <w:r w:rsidR="00854412">
        <w:t xml:space="preserve"> the tax was computed on</w:t>
      </w:r>
      <w:r w:rsidR="00ED0A56" w:rsidRPr="00ED0A56">
        <w:t xml:space="preserve"> </w:t>
      </w:r>
      <w:r w:rsidR="00BD4397">
        <w:t>the</w:t>
      </w:r>
      <w:r w:rsidR="00ED0A56" w:rsidRPr="00ED0A56">
        <w:t xml:space="preserve"> three years’ average</w:t>
      </w:r>
      <w:r w:rsidR="0069742A">
        <w:t xml:space="preserve"> basis</w:t>
      </w:r>
      <w:r w:rsidR="00D005AC">
        <w:t>, according to the legislation of the time</w:t>
      </w:r>
      <w:r w:rsidR="00673D8C">
        <w:t>.</w:t>
      </w:r>
      <w:r w:rsidR="007B6E90">
        <w:rPr>
          <w:rStyle w:val="FootnoteReference"/>
        </w:rPr>
        <w:footnoteReference w:id="3"/>
      </w:r>
    </w:p>
    <w:p w14:paraId="4A176814" w14:textId="3584F851" w:rsidR="00C9479E" w:rsidRDefault="009F4E84" w:rsidP="008B42FF">
      <w:pPr>
        <w:pStyle w:val="BodyText"/>
      </w:pPr>
      <w:r>
        <w:t xml:space="preserve">This paper </w:t>
      </w:r>
      <w:r w:rsidR="00DD6B5A">
        <w:t>takes</w:t>
      </w:r>
      <w:r w:rsidR="00BB3A8C">
        <w:t xml:space="preserve"> that statement as its starting point and</w:t>
      </w:r>
      <w:r w:rsidR="00351F5E">
        <w:t xml:space="preserve"> examine</w:t>
      </w:r>
      <w:r w:rsidR="000343FB">
        <w:t>s</w:t>
      </w:r>
      <w:r w:rsidR="00351F5E">
        <w:t xml:space="preserve"> </w:t>
      </w:r>
      <w:r w:rsidR="007B002B">
        <w:t>tax case law on the meaning of securities</w:t>
      </w:r>
      <w:r w:rsidR="00AC2E9B">
        <w:t xml:space="preserve"> and uses that as a springboard to ex</w:t>
      </w:r>
      <w:r w:rsidR="00CF4143">
        <w:t>amine</w:t>
      </w:r>
      <w:r w:rsidR="0086341B">
        <w:t xml:space="preserve"> how the </w:t>
      </w:r>
      <w:r w:rsidR="000263CB">
        <w:t xml:space="preserve">wider </w:t>
      </w:r>
      <w:r w:rsidR="0086341B">
        <w:t>meaning o</w:t>
      </w:r>
      <w:r w:rsidR="008F6917">
        <w:t xml:space="preserve">f </w:t>
      </w:r>
      <w:r w:rsidR="006F705A">
        <w:t>‘</w:t>
      </w:r>
      <w:r w:rsidR="008F6917">
        <w:t>security</w:t>
      </w:r>
      <w:r w:rsidR="006F705A">
        <w:t>’</w:t>
      </w:r>
      <w:r w:rsidR="008F6917">
        <w:t xml:space="preserve"> and </w:t>
      </w:r>
      <w:r w:rsidR="006F705A">
        <w:t>‘</w:t>
      </w:r>
      <w:r w:rsidR="008F6917">
        <w:t>securities</w:t>
      </w:r>
      <w:r w:rsidR="006F705A">
        <w:t>’</w:t>
      </w:r>
      <w:r w:rsidR="00BC3760">
        <w:t xml:space="preserve"> originated and </w:t>
      </w:r>
      <w:r w:rsidR="00E1160B">
        <w:t xml:space="preserve">developed its tax meaning, </w:t>
      </w:r>
      <w:r w:rsidR="00422665">
        <w:t xml:space="preserve">the </w:t>
      </w:r>
      <w:r w:rsidR="003C268B">
        <w:t xml:space="preserve">importance of the </w:t>
      </w:r>
      <w:r w:rsidR="00422665">
        <w:t>concept of securities</w:t>
      </w:r>
      <w:r w:rsidR="00C80CA4">
        <w:t xml:space="preserve"> and its relation </w:t>
      </w:r>
      <w:r w:rsidR="00D93630">
        <w:t>to</w:t>
      </w:r>
      <w:r w:rsidR="00C80CA4">
        <w:t xml:space="preserve"> shares</w:t>
      </w:r>
      <w:r w:rsidR="005A1094">
        <w:t>,</w:t>
      </w:r>
      <w:r w:rsidR="00D93630">
        <w:t xml:space="preserve"> and ho</w:t>
      </w:r>
      <w:r w:rsidR="002E4DA0">
        <w:t>w the tax</w:t>
      </w:r>
      <w:r w:rsidR="00E1160B">
        <w:t xml:space="preserve"> meaning</w:t>
      </w:r>
      <w:r w:rsidR="00573B3C">
        <w:t xml:space="preserve"> </w:t>
      </w:r>
      <w:r w:rsidR="005A1094">
        <w:t xml:space="preserve">of securities </w:t>
      </w:r>
      <w:r w:rsidR="00573B3C">
        <w:t>compares with the wider commercial usage of the word</w:t>
      </w:r>
      <w:r w:rsidR="0099212B">
        <w:t xml:space="preserve">, </w:t>
      </w:r>
      <w:r w:rsidR="00ED65E3">
        <w:t>exten</w:t>
      </w:r>
      <w:r w:rsidR="003252A3">
        <w:t>ding to</w:t>
      </w:r>
      <w:r w:rsidR="0099212B">
        <w:t xml:space="preserve"> the important </w:t>
      </w:r>
      <w:r w:rsidR="00152BC8">
        <w:t xml:space="preserve">contemporary </w:t>
      </w:r>
      <w:r w:rsidR="0099212B">
        <w:t xml:space="preserve">question </w:t>
      </w:r>
      <w:r w:rsidR="004A783F">
        <w:t xml:space="preserve">of what </w:t>
      </w:r>
      <w:r w:rsidR="00F25CD8">
        <w:t>securit</w:t>
      </w:r>
      <w:r w:rsidR="00157AA7">
        <w:t>y tokens</w:t>
      </w:r>
      <w:r w:rsidR="00F25CD8">
        <w:t xml:space="preserve"> </w:t>
      </w:r>
      <w:r w:rsidR="006111B7">
        <w:t xml:space="preserve">are </w:t>
      </w:r>
      <w:r w:rsidR="00F25CD8">
        <w:t>in the context of the regulation and taxation of crypto</w:t>
      </w:r>
      <w:r w:rsidR="00B60366">
        <w:t>gra</w:t>
      </w:r>
      <w:r w:rsidR="00861F4C">
        <w:t>phic</w:t>
      </w:r>
      <w:r w:rsidR="00F25CD8">
        <w:t xml:space="preserve"> assets</w:t>
      </w:r>
      <w:r w:rsidR="000C5A88">
        <w:t xml:space="preserve"> or </w:t>
      </w:r>
      <w:r w:rsidR="00826327">
        <w:t>‘</w:t>
      </w:r>
      <w:r w:rsidR="000C5A88">
        <w:t>crypto</w:t>
      </w:r>
      <w:r w:rsidR="00826327">
        <w:t>’</w:t>
      </w:r>
      <w:r w:rsidR="000C5A88">
        <w:t>.</w:t>
      </w:r>
    </w:p>
    <w:p w14:paraId="56A1E9CE" w14:textId="5AE42628" w:rsidR="00C74718" w:rsidRDefault="00C74718" w:rsidP="008B42FF">
      <w:pPr>
        <w:pStyle w:val="BodyText"/>
      </w:pPr>
      <w:r>
        <w:t xml:space="preserve">This paper is divided into </w:t>
      </w:r>
      <w:r w:rsidRPr="00BA175E">
        <w:t>five</w:t>
      </w:r>
      <w:r w:rsidR="0051338F">
        <w:t xml:space="preserve"> parts.  Part 1</w:t>
      </w:r>
      <w:r w:rsidR="00C916F5">
        <w:t xml:space="preserve"> looks at the </w:t>
      </w:r>
      <w:r w:rsidR="00B25D09">
        <w:t xml:space="preserve">tax </w:t>
      </w:r>
      <w:r w:rsidR="00E430C7">
        <w:t xml:space="preserve">definitions and </w:t>
      </w:r>
      <w:r w:rsidR="00C916F5">
        <w:t xml:space="preserve">case law on </w:t>
      </w:r>
      <w:r w:rsidR="00B25D09">
        <w:t>the meaning of securities</w:t>
      </w:r>
      <w:r w:rsidR="00B8706C">
        <w:t xml:space="preserve">, and in particular </w:t>
      </w:r>
      <w:r w:rsidR="002C6CE5">
        <w:t xml:space="preserve">at </w:t>
      </w:r>
      <w:r w:rsidR="00B8706C">
        <w:t>the</w:t>
      </w:r>
      <w:r w:rsidR="00756098">
        <w:t xml:space="preserve"> speeches of the Law Lords in </w:t>
      </w:r>
      <w:r w:rsidR="00756098" w:rsidRPr="00F71F6F">
        <w:rPr>
          <w:i/>
          <w:iCs/>
        </w:rPr>
        <w:t>Singer v Williams</w:t>
      </w:r>
      <w:r w:rsidR="00756098">
        <w:t>.</w:t>
      </w:r>
      <w:r w:rsidR="00F71F6F">
        <w:t xml:space="preserve">  Part 2 looks at the wider meaning of</w:t>
      </w:r>
      <w:r w:rsidR="00796AE8">
        <w:t xml:space="preserve"> security and securities</w:t>
      </w:r>
      <w:r w:rsidR="00FF2C06">
        <w:t xml:space="preserve"> and how that meaning </w:t>
      </w:r>
      <w:r w:rsidR="00253B88">
        <w:t>has developed to</w:t>
      </w:r>
      <w:r w:rsidR="00CD673F">
        <w:t>wards</w:t>
      </w:r>
      <w:r w:rsidR="00253B88">
        <w:t xml:space="preserve"> its application</w:t>
      </w:r>
      <w:r w:rsidR="00FF2C06">
        <w:t xml:space="preserve"> in tax law.</w:t>
      </w:r>
      <w:r w:rsidR="00E81A4A">
        <w:t xml:space="preserve">  Part 3</w:t>
      </w:r>
      <w:r w:rsidR="007E7455">
        <w:t xml:space="preserve"> </w:t>
      </w:r>
      <w:r w:rsidR="00FC3AE9">
        <w:t>considers the</w:t>
      </w:r>
      <w:r w:rsidR="00FF1A3E">
        <w:t xml:space="preserve"> important distinction between</w:t>
      </w:r>
      <w:r w:rsidR="00875F47">
        <w:t xml:space="preserve"> shares and securities in the context of the corporation tax distributions legislation</w:t>
      </w:r>
      <w:r w:rsidR="009E05EB">
        <w:t xml:space="preserve"> and the</w:t>
      </w:r>
      <w:r w:rsidR="00D72A9C">
        <w:t xml:space="preserve"> related question of</w:t>
      </w:r>
      <w:r w:rsidR="00D339FC">
        <w:t xml:space="preserve"> </w:t>
      </w:r>
      <w:r w:rsidR="001D6053">
        <w:t>equity</w:t>
      </w:r>
      <w:r w:rsidR="00393201">
        <w:t xml:space="preserve"> and</w:t>
      </w:r>
      <w:r w:rsidR="004B7989">
        <w:t xml:space="preserve"> loan capital in establishing group relationships</w:t>
      </w:r>
      <w:r w:rsidR="00003DFD">
        <w:t>.</w:t>
      </w:r>
      <w:r w:rsidR="00332991">
        <w:t xml:space="preserve">  Part 4</w:t>
      </w:r>
      <w:r w:rsidR="00A97896">
        <w:t xml:space="preserve"> considers the meaning of securities in</w:t>
      </w:r>
      <w:r w:rsidR="007837B0">
        <w:t xml:space="preserve"> commerce and economics</w:t>
      </w:r>
      <w:r w:rsidR="00577263">
        <w:t>, where the</w:t>
      </w:r>
      <w:r w:rsidR="003E05D7">
        <w:t xml:space="preserve"> concepts</w:t>
      </w:r>
      <w:r w:rsidR="008979D0">
        <w:t xml:space="preserve"> </w:t>
      </w:r>
      <w:r w:rsidR="00FB3416">
        <w:t>of shares and securities</w:t>
      </w:r>
      <w:r w:rsidR="00282FFF">
        <w:t xml:space="preserve"> </w:t>
      </w:r>
      <w:r w:rsidR="008979D0">
        <w:t>are</w:t>
      </w:r>
      <w:r w:rsidR="0096119C">
        <w:t xml:space="preserve"> </w:t>
      </w:r>
      <w:r w:rsidR="0064790B">
        <w:t>often</w:t>
      </w:r>
      <w:r w:rsidR="0096119C">
        <w:t xml:space="preserve"> not distinguished</w:t>
      </w:r>
      <w:r w:rsidR="00124C0D">
        <w:t xml:space="preserve">, and the differences in tax treatment of returns on shares and securities are </w:t>
      </w:r>
      <w:r w:rsidR="00BD2800">
        <w:t>regarded</w:t>
      </w:r>
      <w:r w:rsidR="00282FFF">
        <w:t xml:space="preserve"> by many</w:t>
      </w:r>
      <w:r w:rsidR="00BD2800">
        <w:t xml:space="preserve"> as undesirable and economically distorting.</w:t>
      </w:r>
      <w:r w:rsidR="009E1334">
        <w:t xml:space="preserve">  Part 5 looks at the</w:t>
      </w:r>
      <w:r w:rsidR="00CD7D13">
        <w:t xml:space="preserve"> contemporary challenge</w:t>
      </w:r>
      <w:r w:rsidR="005D2AD6">
        <w:t>s around security tokens</w:t>
      </w:r>
      <w:r w:rsidR="006F1B5A">
        <w:t xml:space="preserve"> in the crypto</w:t>
      </w:r>
      <w:r w:rsidR="007E6EA8">
        <w:t>assets</w:t>
      </w:r>
      <w:r w:rsidR="006F1B5A">
        <w:t xml:space="preserve"> field</w:t>
      </w:r>
      <w:r w:rsidR="004A4C2D">
        <w:t>.</w:t>
      </w:r>
    </w:p>
    <w:p w14:paraId="5FF07346" w14:textId="0DA82EFD" w:rsidR="00F95DD3" w:rsidRDefault="008A2831" w:rsidP="00F95DD3">
      <w:pPr>
        <w:pStyle w:val="Heading2"/>
      </w:pPr>
      <w:r>
        <w:t xml:space="preserve">Tax </w:t>
      </w:r>
      <w:r w:rsidR="00065024">
        <w:t xml:space="preserve">definitions and </w:t>
      </w:r>
      <w:r>
        <w:t>case law on the meaning of securities</w:t>
      </w:r>
    </w:p>
    <w:p w14:paraId="426A83BD" w14:textId="11F3A4E0" w:rsidR="006670B7" w:rsidRDefault="00440F1C" w:rsidP="006670B7">
      <w:pPr>
        <w:pStyle w:val="BodyText"/>
      </w:pPr>
      <w:r>
        <w:t>There are many de</w:t>
      </w:r>
      <w:r w:rsidR="00BF0CD3">
        <w:t xml:space="preserve">finitions cited </w:t>
      </w:r>
      <w:r w:rsidR="00DC73FB">
        <w:t>in tax statutes, but mostly they</w:t>
      </w:r>
      <w:r w:rsidR="00847610">
        <w:t xml:space="preserve"> include shares in companies</w:t>
      </w:r>
      <w:r w:rsidR="00463A6E">
        <w:t xml:space="preserve">, or sometimes </w:t>
      </w:r>
      <w:r w:rsidR="00D5703C">
        <w:t>explicitly</w:t>
      </w:r>
      <w:r w:rsidR="00463A6E">
        <w:t xml:space="preserve"> exclude them but include</w:t>
      </w:r>
      <w:r w:rsidR="00D5703C">
        <w:t xml:space="preserve"> loan stock</w:t>
      </w:r>
      <w:r w:rsidR="00D06D08">
        <w:t xml:space="preserve"> and similar</w:t>
      </w:r>
      <w:r w:rsidR="0016634D">
        <w:t xml:space="preserve">, or are comprehensive </w:t>
      </w:r>
      <w:r w:rsidR="00651B9A">
        <w:t>of shares, stocks, bonds and debenture</w:t>
      </w:r>
      <w:r w:rsidR="0015608E">
        <w:t>s</w:t>
      </w:r>
      <w:r w:rsidR="00726561">
        <w:t xml:space="preserve">.  </w:t>
      </w:r>
      <w:r w:rsidR="00A239B6">
        <w:t xml:space="preserve">The definition for the purposes </w:t>
      </w:r>
      <w:r w:rsidR="00A239B6">
        <w:lastRenderedPageBreak/>
        <w:t>of</w:t>
      </w:r>
      <w:r w:rsidR="007E4D35">
        <w:t xml:space="preserve"> distributions by a company</w:t>
      </w:r>
      <w:r w:rsidR="00F7600E">
        <w:t xml:space="preserve"> includes securities</w:t>
      </w:r>
      <w:r w:rsidR="00A53566">
        <w:t xml:space="preserve"> which do not create or evidence a charge</w:t>
      </w:r>
      <w:r w:rsidR="000F0D37">
        <w:t xml:space="preserve">, and </w:t>
      </w:r>
      <w:r w:rsidR="0083720D">
        <w:t xml:space="preserve">even </w:t>
      </w:r>
      <w:r w:rsidR="000F0D37">
        <w:t>loa</w:t>
      </w:r>
      <w:r w:rsidR="001B2973">
        <w:t>ns not made on the issue of</w:t>
      </w:r>
      <w:r w:rsidR="003034BC">
        <w:t xml:space="preserve"> securities</w:t>
      </w:r>
      <w:r w:rsidR="00C66D47">
        <w:t xml:space="preserve"> </w:t>
      </w:r>
      <w:r w:rsidR="00826327">
        <w:t>‘</w:t>
      </w:r>
      <w:r w:rsidR="00C66D47">
        <w:t>or other</w:t>
      </w:r>
      <w:r w:rsidR="00AA17E8">
        <w:t xml:space="preserve"> consideration given by the company</w:t>
      </w:r>
      <w:r w:rsidR="003C7025">
        <w:t>’</w:t>
      </w:r>
      <w:r w:rsidR="00B7067F">
        <w:t>; here in effect</w:t>
      </w:r>
      <w:r w:rsidR="001E7EEB">
        <w:t xml:space="preserve"> securities</w:t>
      </w:r>
      <w:r w:rsidR="00062733">
        <w:t xml:space="preserve"> are implied</w:t>
      </w:r>
      <w:r w:rsidR="003A3DA1">
        <w:t xml:space="preserve"> into a loan arrangement</w:t>
      </w:r>
      <w:r w:rsidR="002240D8">
        <w:t>.</w:t>
      </w:r>
      <w:r w:rsidR="00A32678">
        <w:t xml:space="preserve">  There is no definition in </w:t>
      </w:r>
      <w:r w:rsidR="00314399">
        <w:t>Schedule 1 to the Interpretation Act 1978</w:t>
      </w:r>
      <w:r w:rsidR="00D848FE">
        <w:t>.</w:t>
      </w:r>
      <w:r w:rsidR="005D2885">
        <w:t xml:space="preserve">  There are definitions in some non-tax le</w:t>
      </w:r>
      <w:r w:rsidR="00524F67">
        <w:t>gislation</w:t>
      </w:r>
      <w:r w:rsidR="0065634D">
        <w:t xml:space="preserve"> and </w:t>
      </w:r>
      <w:r w:rsidR="00374F5A">
        <w:t xml:space="preserve">regulatory </w:t>
      </w:r>
      <w:r w:rsidR="0065634D">
        <w:t>practice</w:t>
      </w:r>
      <w:r w:rsidR="00524F67">
        <w:t>, for example</w:t>
      </w:r>
      <w:r w:rsidR="009C0316">
        <w:t xml:space="preserve"> section</w:t>
      </w:r>
      <w:r w:rsidR="001D6065">
        <w:t xml:space="preserve"> </w:t>
      </w:r>
      <w:r w:rsidR="004D18D8">
        <w:t>4 of the Stock Transfer Act 1963, as amended by</w:t>
      </w:r>
      <w:r w:rsidR="00643703">
        <w:t xml:space="preserve"> the Financial Services and Markets Act 2000</w:t>
      </w:r>
      <w:r w:rsidR="006D2C47">
        <w:t xml:space="preserve"> (FSMA</w:t>
      </w:r>
      <w:r w:rsidR="00A134E9">
        <w:t xml:space="preserve"> 2000</w:t>
      </w:r>
      <w:r w:rsidR="006D2C47">
        <w:t>)</w:t>
      </w:r>
      <w:r w:rsidR="00643703">
        <w:t>, defines</w:t>
      </w:r>
      <w:r w:rsidR="00D1627A">
        <w:t xml:space="preserve"> </w:t>
      </w:r>
      <w:r w:rsidR="00933501">
        <w:t xml:space="preserve">securities as </w:t>
      </w:r>
      <w:r w:rsidR="00AB43FF" w:rsidRPr="00AB43FF">
        <w:t>mean</w:t>
      </w:r>
      <w:r w:rsidR="00933501">
        <w:t>ing</w:t>
      </w:r>
      <w:r w:rsidR="00AB43FF" w:rsidRPr="00AB43FF">
        <w:t xml:space="preserve"> shares, stock, debentures, debenture stock, loan stock, bonds, units of a collective investment scheme within the meaning of </w:t>
      </w:r>
      <w:r w:rsidR="006D2C47">
        <w:t>FSMA</w:t>
      </w:r>
      <w:r w:rsidR="00A134E9">
        <w:t xml:space="preserve"> 2000</w:t>
      </w:r>
      <w:r w:rsidR="00AB43FF" w:rsidRPr="00AB43FF">
        <w:t xml:space="preserve">, </w:t>
      </w:r>
      <w:r w:rsidR="00012A2F">
        <w:t>‘</w:t>
      </w:r>
      <w:r w:rsidR="00AB43FF" w:rsidRPr="00AB43FF">
        <w:t>and other securities of any description</w:t>
      </w:r>
      <w:r w:rsidR="00012A2F">
        <w:t>’</w:t>
      </w:r>
      <w:r w:rsidR="00FC3696">
        <w:t xml:space="preserve">.  This is </w:t>
      </w:r>
      <w:r w:rsidR="00A60E71">
        <w:t>an area where definitions dif</w:t>
      </w:r>
      <w:r w:rsidR="00A8110A">
        <w:t>fer according to purpose and context, and care must be exercised accordingly</w:t>
      </w:r>
      <w:r w:rsidR="00F866C1">
        <w:rPr>
          <w:rStyle w:val="FootnoteReference"/>
        </w:rPr>
        <w:footnoteReference w:id="4"/>
      </w:r>
      <w:r w:rsidR="00F22BB9">
        <w:t>.</w:t>
      </w:r>
    </w:p>
    <w:p w14:paraId="0F4A53EB" w14:textId="6D400FD2" w:rsidR="000D6B47" w:rsidRDefault="002B453C" w:rsidP="002B453C">
      <w:pPr>
        <w:pStyle w:val="Heading4"/>
      </w:pPr>
      <w:r>
        <w:t>Tax definitions</w:t>
      </w:r>
    </w:p>
    <w:p w14:paraId="42E3A582" w14:textId="586197D4" w:rsidR="00DE73BE" w:rsidRDefault="00FD579E" w:rsidP="002B453C">
      <w:pPr>
        <w:pStyle w:val="BodyText"/>
      </w:pPr>
      <w:r>
        <w:t>The</w:t>
      </w:r>
      <w:r w:rsidR="00DA1A47">
        <w:t xml:space="preserve"> main</w:t>
      </w:r>
      <w:r w:rsidR="003C71FF">
        <w:t xml:space="preserve"> definitions are for the purposes of</w:t>
      </w:r>
      <w:r w:rsidR="00CD588D">
        <w:t xml:space="preserve"> chargeable gains</w:t>
      </w:r>
      <w:r w:rsidR="003A1C04">
        <w:t xml:space="preserve">, </w:t>
      </w:r>
      <w:r w:rsidR="00957CDF">
        <w:t xml:space="preserve">company distributions, </w:t>
      </w:r>
      <w:r w:rsidR="003A1C04">
        <w:t xml:space="preserve">the </w:t>
      </w:r>
      <w:r w:rsidR="00BC61C3">
        <w:t>transactions</w:t>
      </w:r>
      <w:r w:rsidR="003A1C04">
        <w:t xml:space="preserve"> in securities anti-avoidance legislation</w:t>
      </w:r>
      <w:r w:rsidR="00957CDF">
        <w:t xml:space="preserve"> and</w:t>
      </w:r>
      <w:r w:rsidR="005B7CF5">
        <w:t xml:space="preserve"> stamp taxes</w:t>
      </w:r>
      <w:r w:rsidR="005A2D96">
        <w:t xml:space="preserve"> </w:t>
      </w:r>
      <w:r w:rsidR="005C4C44">
        <w:t>but there are other</w:t>
      </w:r>
      <w:r w:rsidR="00BE1D30">
        <w:t xml:space="preserve"> specific usages, for example</w:t>
      </w:r>
      <w:r w:rsidR="00A56C17">
        <w:t xml:space="preserve"> </w:t>
      </w:r>
      <w:r w:rsidR="001E2909">
        <w:t xml:space="preserve">in the employment-related </w:t>
      </w:r>
      <w:r w:rsidR="009A327E">
        <w:t>securities</w:t>
      </w:r>
      <w:r w:rsidR="001E2909">
        <w:t xml:space="preserve"> legislation (section</w:t>
      </w:r>
      <w:r w:rsidR="00354DFF">
        <w:t xml:space="preserve"> 420 I</w:t>
      </w:r>
      <w:r w:rsidR="0024046D">
        <w:t xml:space="preserve">ncome </w:t>
      </w:r>
      <w:r w:rsidR="00354DFF">
        <w:t>T</w:t>
      </w:r>
      <w:r w:rsidR="0024046D">
        <w:t xml:space="preserve">ax (Earnings </w:t>
      </w:r>
      <w:r w:rsidR="00576D63">
        <w:t xml:space="preserve">and </w:t>
      </w:r>
      <w:r w:rsidR="00354DFF">
        <w:t>P</w:t>
      </w:r>
      <w:r w:rsidR="00576D63">
        <w:t>ensions</w:t>
      </w:r>
      <w:r w:rsidR="005A4D34">
        <w:t>)</w:t>
      </w:r>
      <w:r w:rsidR="00576D63">
        <w:t xml:space="preserve"> </w:t>
      </w:r>
      <w:r w:rsidR="00354DFF">
        <w:t>A</w:t>
      </w:r>
      <w:r w:rsidR="00576D63">
        <w:t>ct</w:t>
      </w:r>
      <w:r w:rsidR="004479E9">
        <w:t xml:space="preserve"> 2003</w:t>
      </w:r>
      <w:r w:rsidR="00576D63">
        <w:t>).</w:t>
      </w:r>
    </w:p>
    <w:p w14:paraId="25AE3569" w14:textId="5E959E0B" w:rsidR="002A44EF" w:rsidRDefault="00DE73BE" w:rsidP="0022716F">
      <w:pPr>
        <w:pStyle w:val="BodyText"/>
      </w:pPr>
      <w:r>
        <w:t xml:space="preserve">Section 132 </w:t>
      </w:r>
      <w:r w:rsidR="00A273F2">
        <w:t xml:space="preserve">of the Taxation of Chargeable Gains Act </w:t>
      </w:r>
      <w:r w:rsidR="005042F9">
        <w:t xml:space="preserve">1992 provides that </w:t>
      </w:r>
      <w:r w:rsidR="00B609D6">
        <w:t>‘</w:t>
      </w:r>
      <w:r w:rsidR="00C010CD" w:rsidRPr="00C010CD">
        <w:t>security</w:t>
      </w:r>
      <w:r w:rsidR="00B609D6">
        <w:t>’</w:t>
      </w:r>
      <w:r w:rsidR="00C010CD" w:rsidRPr="00C010CD">
        <w:t xml:space="preserve"> includes any loan stock or similar security whether of the </w:t>
      </w:r>
      <w:r w:rsidR="00367AE4">
        <w:t>g</w:t>
      </w:r>
      <w:r w:rsidR="00C010CD" w:rsidRPr="00C010CD">
        <w:t>overnment of the United Kingdom or of any other government, or of any public or local authority in the United Kingdom or elsewhere, or of any company, and whether secured or unsecured.</w:t>
      </w:r>
    </w:p>
    <w:p w14:paraId="5BEF8669" w14:textId="60A4162D" w:rsidR="005433C5" w:rsidRDefault="005433C5" w:rsidP="0022716F">
      <w:pPr>
        <w:pStyle w:val="BodyText"/>
      </w:pPr>
      <w:r>
        <w:t xml:space="preserve">The </w:t>
      </w:r>
      <w:r w:rsidR="00C55286">
        <w:t>company distributions legislation</w:t>
      </w:r>
      <w:r w:rsidR="00D33D88">
        <w:t xml:space="preserve"> at section </w:t>
      </w:r>
      <w:r w:rsidR="00D55723">
        <w:t>1117(1) of the Corporation Tax Act 2010</w:t>
      </w:r>
      <w:r w:rsidR="00C55286">
        <w:t xml:space="preserve"> </w:t>
      </w:r>
      <w:r w:rsidR="00FC3CAA">
        <w:t xml:space="preserve">(CTA 2010) </w:t>
      </w:r>
      <w:r w:rsidR="00C55286">
        <w:t xml:space="preserve">defines </w:t>
      </w:r>
      <w:r w:rsidR="00B609D6">
        <w:t>‘</w:t>
      </w:r>
      <w:r w:rsidR="008E3B10">
        <w:t>security</w:t>
      </w:r>
      <w:r w:rsidR="00C47162">
        <w:t>’</w:t>
      </w:r>
      <w:r w:rsidR="008E3B10">
        <w:t>, except where the context other</w:t>
      </w:r>
      <w:r w:rsidR="00E85793">
        <w:t>wise requires, as</w:t>
      </w:r>
      <w:r w:rsidR="0008771A">
        <w:t xml:space="preserve"> including securities not creating or evidencing</w:t>
      </w:r>
      <w:r w:rsidR="00E07345">
        <w:t xml:space="preserve"> a charge on assets</w:t>
      </w:r>
      <w:r w:rsidR="00825841">
        <w:t>, and at section</w:t>
      </w:r>
      <w:r w:rsidR="00AE0CAA">
        <w:t xml:space="preserve"> 1114(3) contains, for the purposes</w:t>
      </w:r>
      <w:r w:rsidR="00E04821">
        <w:t xml:space="preserve"> of company distributions, the formula mentioned above that treats</w:t>
      </w:r>
      <w:r w:rsidR="00462BF2">
        <w:t xml:space="preserve"> interest paid by a company on advances to it </w:t>
      </w:r>
      <w:r w:rsidR="00852CBD">
        <w:t>as paid in respect of a security issued by it</w:t>
      </w:r>
      <w:r w:rsidR="005F5837">
        <w:t xml:space="preserve"> without the actual issue of a security or other consideration given by the company</w:t>
      </w:r>
      <w:r w:rsidR="00855E40">
        <w:t>.</w:t>
      </w:r>
    </w:p>
    <w:p w14:paraId="25D86535" w14:textId="36126034" w:rsidR="00D302D5" w:rsidRDefault="00D302D5" w:rsidP="0022716F">
      <w:pPr>
        <w:pStyle w:val="BodyText"/>
      </w:pPr>
      <w:r>
        <w:t xml:space="preserve">The </w:t>
      </w:r>
      <w:r w:rsidR="0030774D">
        <w:t xml:space="preserve">transactions in securities legislation, </w:t>
      </w:r>
      <w:r w:rsidR="0094435C">
        <w:t>which</w:t>
      </w:r>
      <w:r w:rsidR="0030774D">
        <w:t xml:space="preserve"> originated in Finance Act 1960</w:t>
      </w:r>
      <w:r w:rsidR="0015112C">
        <w:t xml:space="preserve"> </w:t>
      </w:r>
      <w:r w:rsidR="00EA6366">
        <w:t xml:space="preserve">(FA 1960) </w:t>
      </w:r>
      <w:r w:rsidR="00573B37">
        <w:t xml:space="preserve">to deal with </w:t>
      </w:r>
      <w:r w:rsidR="004077E3">
        <w:t>‘</w:t>
      </w:r>
      <w:r w:rsidR="00573B37">
        <w:t>dividend stripping</w:t>
      </w:r>
      <w:r w:rsidR="004077E3">
        <w:t>’</w:t>
      </w:r>
      <w:r w:rsidR="00573B37">
        <w:t xml:space="preserve"> and </w:t>
      </w:r>
      <w:r w:rsidR="004077E3">
        <w:t>‘</w:t>
      </w:r>
      <w:r w:rsidR="00573B37">
        <w:t>bond washing</w:t>
      </w:r>
      <w:r w:rsidR="00544526">
        <w:t>’</w:t>
      </w:r>
      <w:r w:rsidR="009369EF">
        <w:t xml:space="preserve"> </w:t>
      </w:r>
      <w:r w:rsidR="003B3CE5">
        <w:t>and is now</w:t>
      </w:r>
      <w:r w:rsidR="002A75C2">
        <w:t xml:space="preserve"> at </w:t>
      </w:r>
      <w:r w:rsidR="00FC2039">
        <w:t>Part 15</w:t>
      </w:r>
      <w:r w:rsidR="00FA73FA">
        <w:t xml:space="preserve"> of CTA 2010 (</w:t>
      </w:r>
      <w:r w:rsidR="002A75C2">
        <w:t>sections</w:t>
      </w:r>
      <w:r w:rsidR="0095511D">
        <w:t xml:space="preserve"> 731 </w:t>
      </w:r>
      <w:r w:rsidR="00D25E9F">
        <w:t>to 751</w:t>
      </w:r>
      <w:r w:rsidR="00BB2A69">
        <w:t>)</w:t>
      </w:r>
      <w:r w:rsidR="00D25E9F">
        <w:t xml:space="preserve">, </w:t>
      </w:r>
      <w:r w:rsidR="00B143BD">
        <w:t>d</w:t>
      </w:r>
      <w:r w:rsidR="00D25E9F">
        <w:t xml:space="preserve">efines for </w:t>
      </w:r>
      <w:r w:rsidR="00B143BD">
        <w:t xml:space="preserve">that purpose </w:t>
      </w:r>
      <w:r w:rsidR="00D87126">
        <w:t xml:space="preserve">at section 751 </w:t>
      </w:r>
      <w:r w:rsidR="00B143BD">
        <w:t xml:space="preserve">securities as </w:t>
      </w:r>
      <w:r w:rsidR="004D1D3D">
        <w:t>including shares and stock, and in relation to a company not limited by shar</w:t>
      </w:r>
      <w:r w:rsidR="00CC3FA4">
        <w:t>es (whether or not it has a share capital)</w:t>
      </w:r>
      <w:r w:rsidR="004E4A0E">
        <w:t xml:space="preserve"> includes a reference to the interest of</w:t>
      </w:r>
      <w:r w:rsidR="0079035C">
        <w:t xml:space="preserve"> a member in the company as such, regardless of the form of interest.</w:t>
      </w:r>
    </w:p>
    <w:p w14:paraId="61582614" w14:textId="7C3B824A" w:rsidR="0082425F" w:rsidRDefault="0082425F" w:rsidP="0022716F">
      <w:pPr>
        <w:pStyle w:val="BodyText"/>
      </w:pPr>
      <w:r>
        <w:t>In the analogous income tax provisions</w:t>
      </w:r>
      <w:r w:rsidR="00F72D31">
        <w:rPr>
          <w:rStyle w:val="FootnoteReference"/>
        </w:rPr>
        <w:footnoteReference w:id="5"/>
      </w:r>
      <w:r w:rsidR="007B04AC">
        <w:t xml:space="preserve"> there is no definition</w:t>
      </w:r>
      <w:r w:rsidR="009E49D9">
        <w:t xml:space="preserve"> of securities, only one of </w:t>
      </w:r>
      <w:r w:rsidR="005D67CA">
        <w:t>transactions</w:t>
      </w:r>
      <w:r w:rsidR="009E49D9">
        <w:t xml:space="preserve"> in securities, which is a </w:t>
      </w:r>
      <w:r w:rsidR="005D67CA">
        <w:t>transaction, of whatever description, relating to securities</w:t>
      </w:r>
      <w:r w:rsidR="00F866C1">
        <w:t>.  Not greatly illuminating.</w:t>
      </w:r>
    </w:p>
    <w:p w14:paraId="69C20EEC" w14:textId="4E022F32" w:rsidR="00D90C22" w:rsidRDefault="0006354B" w:rsidP="0022716F">
      <w:pPr>
        <w:pStyle w:val="BodyText"/>
      </w:pPr>
      <w:r>
        <w:t xml:space="preserve">The Stamp Act </w:t>
      </w:r>
      <w:r w:rsidR="00A9057F">
        <w:t xml:space="preserve">1891 </w:t>
      </w:r>
      <w:r w:rsidR="00633B94">
        <w:t xml:space="preserve">with similar lack of illumination </w:t>
      </w:r>
      <w:r w:rsidR="00A9057F">
        <w:t>provides a definition</w:t>
      </w:r>
      <w:r w:rsidR="009F480D">
        <w:t xml:space="preserve"> for </w:t>
      </w:r>
      <w:r w:rsidR="00544526">
        <w:t>‘</w:t>
      </w:r>
      <w:r w:rsidR="009F480D">
        <w:t>marketable security</w:t>
      </w:r>
      <w:r w:rsidR="00544526">
        <w:t>’</w:t>
      </w:r>
      <w:r w:rsidR="009F480D">
        <w:t>, which means</w:t>
      </w:r>
      <w:r w:rsidR="00405C1A">
        <w:t xml:space="preserve"> </w:t>
      </w:r>
      <w:r w:rsidR="00405C1A" w:rsidRPr="00405C1A">
        <w:t>a security of such a description as to be capable of being sold in any stock market in the United Kingdom</w:t>
      </w:r>
      <w:r w:rsidR="00B10D81">
        <w:t>.</w:t>
      </w:r>
    </w:p>
    <w:p w14:paraId="23B34FE1" w14:textId="6A177CEE" w:rsidR="0045032A" w:rsidRDefault="00992CA0" w:rsidP="002A44EF">
      <w:pPr>
        <w:pStyle w:val="Heading4"/>
      </w:pPr>
      <w:r>
        <w:t>Speeches in Singer v Williams</w:t>
      </w:r>
    </w:p>
    <w:p w14:paraId="12FA0109" w14:textId="77777777" w:rsidR="002B68EE" w:rsidRDefault="002F3BEF" w:rsidP="00992CA0">
      <w:pPr>
        <w:pStyle w:val="BodyText"/>
      </w:pPr>
      <w:r>
        <w:t xml:space="preserve">Lord Cave </w:t>
      </w:r>
      <w:r w:rsidR="00935E90">
        <w:t>said</w:t>
      </w:r>
    </w:p>
    <w:p w14:paraId="4C2EB852" w14:textId="44D972A5" w:rsidR="00992CA0" w:rsidRDefault="002B68EE" w:rsidP="00C04313">
      <w:pPr>
        <w:pStyle w:val="BodyText"/>
        <w:ind w:left="720"/>
      </w:pPr>
      <w:r>
        <w:lastRenderedPageBreak/>
        <w:t xml:space="preserve">… </w:t>
      </w:r>
      <w:r w:rsidR="00935E90">
        <w:t>the normal meaning</w:t>
      </w:r>
      <w:r w:rsidR="001D7A7C">
        <w:t xml:space="preserve"> of ‘securities’ is not open to doubt</w:t>
      </w:r>
      <w:r>
        <w:t>.  The word denotes a debt or claim</w:t>
      </w:r>
      <w:r w:rsidR="00C25998">
        <w:t xml:space="preserve"> the payment of which is in some way secured.  The security would generally consist of a right</w:t>
      </w:r>
      <w:r w:rsidR="00130167">
        <w:t xml:space="preserve"> to resort to some fund or property</w:t>
      </w:r>
      <w:r w:rsidR="00AA446B">
        <w:t xml:space="preserve"> for payment.  But I am not prepared to say that other forms of security (such as personal guarantees)</w:t>
      </w:r>
      <w:r w:rsidR="00F908C1">
        <w:t xml:space="preserve"> are excluded.  In each case, however, where the word is used in its normal sense</w:t>
      </w:r>
      <w:r w:rsidR="004478EB">
        <w:t>, some form of secured liability is postulated</w:t>
      </w:r>
      <w:r w:rsidR="00245746">
        <w:t>.  No doubt the meaning of the word may be enlarged by an interpretation</w:t>
      </w:r>
      <w:r w:rsidR="00EF4149">
        <w:t xml:space="preserve"> contained in a statute … or the context</w:t>
      </w:r>
      <w:r w:rsidR="00AF45BD">
        <w:t>.  But in the absence o</w:t>
      </w:r>
      <w:r w:rsidR="00712E71">
        <w:t>f</w:t>
      </w:r>
      <w:r w:rsidR="00AF45BD">
        <w:t xml:space="preserve"> such aid to interpretation</w:t>
      </w:r>
      <w:r w:rsidR="0084651A">
        <w:t>, I think it is clear the word ‘</w:t>
      </w:r>
      <w:r w:rsidR="00955716">
        <w:t>securities</w:t>
      </w:r>
      <w:r w:rsidR="00840377">
        <w:t>’ must be construed in the sense above defined</w:t>
      </w:r>
      <w:r w:rsidR="00A43FEF">
        <w:t>, and accordingly does not include shares or stocks in a company</w:t>
      </w:r>
      <w:r w:rsidR="00955716">
        <w:t>.</w:t>
      </w:r>
    </w:p>
    <w:p w14:paraId="651009D8" w14:textId="21B5FF1F" w:rsidR="00633B94" w:rsidRDefault="00633B94" w:rsidP="00633B94">
      <w:pPr>
        <w:pStyle w:val="BodyText"/>
      </w:pPr>
      <w:r>
        <w:t>As we shall see, that type of personal guarantee is one established meaning of security.</w:t>
      </w:r>
    </w:p>
    <w:p w14:paraId="13928CD2" w14:textId="550BB142" w:rsidR="00FC1D94" w:rsidRDefault="00C04313" w:rsidP="007A7012">
      <w:pPr>
        <w:pStyle w:val="BodyText"/>
      </w:pPr>
      <w:r>
        <w:t>Lord</w:t>
      </w:r>
      <w:r w:rsidR="00FC1D94">
        <w:t xml:space="preserve"> Atkinson</w:t>
      </w:r>
      <w:r w:rsidR="004A21B2">
        <w:t xml:space="preserve"> described</w:t>
      </w:r>
      <w:r w:rsidR="00012261">
        <w:t xml:space="preserve"> the ex</w:t>
      </w:r>
      <w:r w:rsidR="000930CC">
        <w:t>tension of securities to include shares as</w:t>
      </w:r>
      <w:r w:rsidR="00042B01">
        <w:t xml:space="preserve"> </w:t>
      </w:r>
      <w:r w:rsidR="000D2609">
        <w:t xml:space="preserve">sometimes </w:t>
      </w:r>
      <w:r w:rsidR="00042B01">
        <w:t xml:space="preserve">reflected in </w:t>
      </w:r>
      <w:r w:rsidR="00D733BD">
        <w:t>‘</w:t>
      </w:r>
      <w:r w:rsidR="00042B01">
        <w:t>popular language</w:t>
      </w:r>
      <w:r w:rsidR="00D733BD">
        <w:t>’</w:t>
      </w:r>
      <w:r w:rsidR="00FD7065">
        <w:t xml:space="preserve"> but</w:t>
      </w:r>
      <w:r w:rsidR="00860097">
        <w:t xml:space="preserve"> noted that shares are portions of </w:t>
      </w:r>
      <w:r w:rsidR="00BA06FA">
        <w:t xml:space="preserve">the capital of a </w:t>
      </w:r>
      <w:r w:rsidR="00712E71">
        <w:t>company and</w:t>
      </w:r>
      <w:r w:rsidR="009C4BBA">
        <w:t xml:space="preserve"> are choses</w:t>
      </w:r>
      <w:r w:rsidR="00DA740F">
        <w:t xml:space="preserve"> in action only in that</w:t>
      </w:r>
      <w:r w:rsidR="00BE2BB2">
        <w:t xml:space="preserve"> they are</w:t>
      </w:r>
      <w:r w:rsidR="007A7012">
        <w:t xml:space="preserve"> assignable and </w:t>
      </w:r>
      <w:r w:rsidR="00BE2BB2">
        <w:t>any</w:t>
      </w:r>
      <w:r w:rsidR="007A7012">
        <w:t xml:space="preserve"> assignee would</w:t>
      </w:r>
      <w:r w:rsidR="00BE2BB2">
        <w:t xml:space="preserve"> be entitled to sue to obtain</w:t>
      </w:r>
      <w:r w:rsidR="00AC24E1">
        <w:t xml:space="preserve"> his share of the profits as the original holders would be.</w:t>
      </w:r>
    </w:p>
    <w:p w14:paraId="5D291684" w14:textId="34DC70A5" w:rsidR="00F838FF" w:rsidRDefault="00FC1D94" w:rsidP="00992CA0">
      <w:pPr>
        <w:pStyle w:val="BodyText"/>
      </w:pPr>
      <w:r>
        <w:t>Lord</w:t>
      </w:r>
      <w:r w:rsidR="00C04313">
        <w:t xml:space="preserve"> Shaw</w:t>
      </w:r>
      <w:r w:rsidR="00DD7D6B">
        <w:t xml:space="preserve"> observed that</w:t>
      </w:r>
      <w:r w:rsidR="005F5682">
        <w:t xml:space="preserve"> </w:t>
      </w:r>
      <w:r w:rsidR="00D733BD">
        <w:t>‘</w:t>
      </w:r>
      <w:r w:rsidR="005F5682">
        <w:t>possession</w:t>
      </w:r>
      <w:r w:rsidR="00D733BD">
        <w:t>’</w:t>
      </w:r>
      <w:r w:rsidR="005F5682">
        <w:t xml:space="preserve"> is a term of wide meaning</w:t>
      </w:r>
      <w:r w:rsidR="00186A38">
        <w:t xml:space="preserve"> and would cover</w:t>
      </w:r>
      <w:r w:rsidR="00953360">
        <w:t xml:space="preserve"> </w:t>
      </w:r>
      <w:r w:rsidR="008A2071">
        <w:t>‘</w:t>
      </w:r>
      <w:r w:rsidR="00953360">
        <w:t>securities</w:t>
      </w:r>
      <w:r w:rsidR="008A2071">
        <w:t>’</w:t>
      </w:r>
      <w:r w:rsidR="00953360">
        <w:t xml:space="preserve"> too, but in context th</w:t>
      </w:r>
      <w:r w:rsidR="00535B49">
        <w:t xml:space="preserve">e statute construed foreign possessions and </w:t>
      </w:r>
      <w:r w:rsidR="002727A1">
        <w:t>foreign securities differently</w:t>
      </w:r>
      <w:r w:rsidR="00502BBA">
        <w:t xml:space="preserve">, </w:t>
      </w:r>
      <w:r w:rsidR="008A1F60">
        <w:t xml:space="preserve">placing </w:t>
      </w:r>
      <w:r w:rsidR="00502BBA">
        <w:t>the latter in a different category</w:t>
      </w:r>
      <w:r w:rsidR="00373420">
        <w:t xml:space="preserve">.  </w:t>
      </w:r>
      <w:r w:rsidR="001B03CA">
        <w:t>He said</w:t>
      </w:r>
      <w:r w:rsidR="00F838FF">
        <w:t>:</w:t>
      </w:r>
    </w:p>
    <w:p w14:paraId="1DBE11EB" w14:textId="1CD78668" w:rsidR="006D5FBF" w:rsidRDefault="004C608E" w:rsidP="00F838FF">
      <w:pPr>
        <w:pStyle w:val="BodyText"/>
        <w:ind w:left="720"/>
      </w:pPr>
      <w:r>
        <w:t>‘</w:t>
      </w:r>
      <w:r w:rsidR="00373420">
        <w:t>Securities</w:t>
      </w:r>
      <w:r>
        <w:t>’</w:t>
      </w:r>
      <w:r w:rsidR="00373420">
        <w:t xml:space="preserve"> is an ordinary English wor</w:t>
      </w:r>
      <w:r w:rsidR="00B66BB9">
        <w:t>d without legal definition and must be construed in context</w:t>
      </w:r>
      <w:r w:rsidR="00CD4971">
        <w:t xml:space="preserve">.  Here there </w:t>
      </w:r>
      <w:r w:rsidR="0031384F">
        <w:t>i</w:t>
      </w:r>
      <w:r w:rsidR="00CD4971">
        <w:t xml:space="preserve">s a security </w:t>
      </w:r>
      <w:r w:rsidR="000E5C6E">
        <w:t>upon something</w:t>
      </w:r>
      <w:r w:rsidR="00B0009B">
        <w:t xml:space="preserve">, distinct from </w:t>
      </w:r>
      <w:r w:rsidR="004444C8">
        <w:t xml:space="preserve">the lodging of a security </w:t>
      </w:r>
      <w:r w:rsidR="00D22AB7">
        <w:t xml:space="preserve">or securities </w:t>
      </w:r>
      <w:r w:rsidR="004444C8">
        <w:t>with a bank.</w:t>
      </w:r>
      <w:r w:rsidR="00180463">
        <w:t xml:space="preserve">  It</w:t>
      </w:r>
      <w:r w:rsidR="00DF263D">
        <w:t xml:space="preserve"> invokes the relationship of debtor and creditor</w:t>
      </w:r>
      <w:r w:rsidR="00E8330F">
        <w:t xml:space="preserve">, but </w:t>
      </w:r>
      <w:r w:rsidR="00F75085">
        <w:t>Mr Singer is a shareholder</w:t>
      </w:r>
      <w:r w:rsidR="0098185D">
        <w:t xml:space="preserve">, a </w:t>
      </w:r>
      <w:r w:rsidR="00D3271B">
        <w:t>joint adventurer</w:t>
      </w:r>
      <w:r w:rsidR="0098185D">
        <w:t xml:space="preserve"> with others</w:t>
      </w:r>
      <w:r w:rsidR="00595667">
        <w:t>, a part owner.</w:t>
      </w:r>
      <w:r w:rsidR="00692BB3">
        <w:t xml:space="preserve">  The </w:t>
      </w:r>
      <w:r w:rsidR="004551C8">
        <w:t>variability of ownership returns is recognised by the three-y</w:t>
      </w:r>
      <w:r w:rsidR="005F2F2F">
        <w:t>ear</w:t>
      </w:r>
      <w:r w:rsidR="005D2F74">
        <w:t xml:space="preserve"> average basis which applies to possessions but not securities.</w:t>
      </w:r>
    </w:p>
    <w:p w14:paraId="0D84197F" w14:textId="4A9395CF" w:rsidR="00C04313" w:rsidRDefault="00FA2C46" w:rsidP="00992CA0">
      <w:pPr>
        <w:pStyle w:val="BodyText"/>
      </w:pPr>
      <w:r>
        <w:t>Lord Wrenbury adopted an interesting analysis which perhaps deserves to be better known</w:t>
      </w:r>
      <w:r w:rsidR="008C38B2">
        <w:t>.  That a security is</w:t>
      </w:r>
      <w:r w:rsidR="0081207E">
        <w:t xml:space="preserve"> a possession, but such that the grantee or </w:t>
      </w:r>
      <w:r w:rsidR="008F5324">
        <w:t>holder of the security</w:t>
      </w:r>
      <w:r w:rsidR="00180463">
        <w:t xml:space="preserve"> </w:t>
      </w:r>
      <w:r w:rsidR="00674853" w:rsidRPr="00674853">
        <w:t>holds as against the grantor a right to resort to some property or some fund for the satisfaction of some demand, after whose satisfaction the balance of the property or fund belongs to the grantor</w:t>
      </w:r>
      <w:r w:rsidR="00281BB3">
        <w:t>.  He went on to say</w:t>
      </w:r>
      <w:r w:rsidR="00596202">
        <w:t>:</w:t>
      </w:r>
    </w:p>
    <w:p w14:paraId="356BFF03" w14:textId="3E0282FE" w:rsidR="006F67E8" w:rsidRDefault="006F67E8" w:rsidP="00891387">
      <w:pPr>
        <w:pStyle w:val="BodyText"/>
        <w:ind w:left="720"/>
      </w:pPr>
      <w:r w:rsidRPr="006F67E8">
        <w:t>There are two owners, and the right of the one has precedence of the right of the other. A share in a corporation does not answer the above description. There are not two owners, the one entitled to a security upon something and the other entitled to the balance after satisfying that demand. A share confers upon the holder a right to a proportionate part of the assets of the corporatio</w:t>
      </w:r>
      <w:r w:rsidR="007D07F1">
        <w:t>n</w:t>
      </w:r>
      <w:r w:rsidRPr="006F67E8">
        <w:t>; it may be a proportionate part of its profits by way of dividend, or it may be a proportionate part of its distributive assets in liquidation. There is no owner other than himself.</w:t>
      </w:r>
    </w:p>
    <w:p w14:paraId="41B96F53" w14:textId="3D79F34A" w:rsidR="00891387" w:rsidRDefault="00891387" w:rsidP="00992CA0">
      <w:pPr>
        <w:pStyle w:val="BodyText"/>
      </w:pPr>
      <w:r>
        <w:t>Lord Phillimore</w:t>
      </w:r>
      <w:r w:rsidR="00E75AF8">
        <w:t xml:space="preserve"> was less certain than </w:t>
      </w:r>
      <w:r w:rsidR="00087D0B">
        <w:t>his brethren</w:t>
      </w:r>
      <w:r w:rsidR="00111559">
        <w:t>, but h</w:t>
      </w:r>
      <w:r w:rsidR="00D13A56">
        <w:t xml:space="preserve">e too recognised a </w:t>
      </w:r>
      <w:r w:rsidR="00AE7457">
        <w:t>‘</w:t>
      </w:r>
      <w:r w:rsidR="00D13A56">
        <w:t>strict sense</w:t>
      </w:r>
      <w:r w:rsidR="00AE7457">
        <w:t>’</w:t>
      </w:r>
      <w:r w:rsidR="00D13A56">
        <w:t xml:space="preserve"> of the word securities</w:t>
      </w:r>
      <w:r w:rsidR="00383865">
        <w:t xml:space="preserve">, and a wider </w:t>
      </w:r>
      <w:r w:rsidR="00ED1517">
        <w:t>‘</w:t>
      </w:r>
      <w:r w:rsidR="00383865">
        <w:t>popular</w:t>
      </w:r>
      <w:r w:rsidR="00ED1517">
        <w:t>’</w:t>
      </w:r>
      <w:r w:rsidR="00383865">
        <w:t xml:space="preserve"> sense</w:t>
      </w:r>
      <w:r w:rsidR="00110E50">
        <w:t xml:space="preserve"> extending to stocks and shares</w:t>
      </w:r>
      <w:r w:rsidR="002B28DB">
        <w:t>.  He thought</w:t>
      </w:r>
      <w:r w:rsidR="00924B9F">
        <w:rPr>
          <w:rStyle w:val="FootnoteReference"/>
        </w:rPr>
        <w:footnoteReference w:id="6"/>
      </w:r>
      <w:r w:rsidR="002B28DB">
        <w:t xml:space="preserve"> </w:t>
      </w:r>
      <w:r w:rsidR="00D60E1C">
        <w:t xml:space="preserve">that possessions </w:t>
      </w:r>
      <w:r w:rsidR="00F35B64">
        <w:t>generally</w:t>
      </w:r>
      <w:r w:rsidR="00D60E1C">
        <w:t xml:space="preserve"> connote so</w:t>
      </w:r>
      <w:r w:rsidR="00F35B64">
        <w:t>mething tangible</w:t>
      </w:r>
      <w:r w:rsidR="009973AA">
        <w:t>, like a sugar plantation</w:t>
      </w:r>
      <w:r w:rsidR="00AE29D9">
        <w:t xml:space="preserve">, and </w:t>
      </w:r>
      <w:r w:rsidR="00CC0978">
        <w:t>t</w:t>
      </w:r>
      <w:r w:rsidR="00AE29D9">
        <w:t>hat choses in possession might be distinguished from choses in action</w:t>
      </w:r>
      <w:r w:rsidR="00CC0978">
        <w:t>.  But there was high authority</w:t>
      </w:r>
      <w:r w:rsidR="00DF77EF">
        <w:t xml:space="preserve"> for considering foreign possessions as including any</w:t>
      </w:r>
      <w:r w:rsidR="0054547F">
        <w:t xml:space="preserve"> form of property</w:t>
      </w:r>
      <w:r w:rsidR="00F275BB">
        <w:t xml:space="preserve"> from which profit may be derived</w:t>
      </w:r>
      <w:r w:rsidR="00866B47">
        <w:t xml:space="preserve">, and that </w:t>
      </w:r>
      <w:r w:rsidR="000A7EC4">
        <w:t xml:space="preserve">the likely explanation for the language </w:t>
      </w:r>
      <w:r w:rsidR="000A7EC4">
        <w:lastRenderedPageBreak/>
        <w:t>was that in 1</w:t>
      </w:r>
      <w:r w:rsidR="000664ED">
        <w:t>842</w:t>
      </w:r>
      <w:r w:rsidR="00402F5F">
        <w:rPr>
          <w:rStyle w:val="FootnoteReference"/>
        </w:rPr>
        <w:footnoteReference w:id="7"/>
      </w:r>
      <w:r w:rsidR="000664ED">
        <w:t xml:space="preserve"> there were few incorporated companies</w:t>
      </w:r>
      <w:r w:rsidR="00A647FB">
        <w:t xml:space="preserve">, </w:t>
      </w:r>
      <w:r w:rsidR="00FA717B">
        <w:t xml:space="preserve">and </w:t>
      </w:r>
      <w:r w:rsidR="00A647FB">
        <w:t>fewer still</w:t>
      </w:r>
      <w:r w:rsidR="00E4009B">
        <w:t xml:space="preserve"> that were foreign</w:t>
      </w:r>
      <w:r w:rsidR="007E5919">
        <w:t xml:space="preserve"> resident and owned by British shareholders</w:t>
      </w:r>
      <w:r w:rsidR="00D22BB2">
        <w:t>, tha</w:t>
      </w:r>
      <w:r w:rsidR="00FA717B">
        <w:t>t</w:t>
      </w:r>
      <w:r w:rsidR="00D22BB2">
        <w:t xml:space="preserve"> what was principally in mind was lands, plantations and factories </w:t>
      </w:r>
      <w:r w:rsidR="00A17F61">
        <w:t>abroad,</w:t>
      </w:r>
      <w:r w:rsidR="00273980">
        <w:t xml:space="preserve"> but the language was wide enough to </w:t>
      </w:r>
      <w:r w:rsidR="005E36BC">
        <w:t>include all foreign species of property</w:t>
      </w:r>
      <w:r w:rsidR="00BC26E5">
        <w:t>.</w:t>
      </w:r>
      <w:r w:rsidR="00755063">
        <w:t xml:space="preserve">  Lord Phillimore was swayed by the reference not so much to securities as t</w:t>
      </w:r>
      <w:r w:rsidR="00FF2B64">
        <w:t xml:space="preserve">o the fact that the charge was on </w:t>
      </w:r>
      <w:r w:rsidR="00FF2B64" w:rsidRPr="005613FC">
        <w:rPr>
          <w:i/>
          <w:iCs/>
        </w:rPr>
        <w:t>interest</w:t>
      </w:r>
      <w:r w:rsidR="00FF2B64">
        <w:t xml:space="preserve"> </w:t>
      </w:r>
      <w:r w:rsidR="005613FC">
        <w:t xml:space="preserve">arising </w:t>
      </w:r>
      <w:r w:rsidR="00FF2B64">
        <w:t>from them</w:t>
      </w:r>
      <w:r w:rsidR="0045180D">
        <w:t>.</w:t>
      </w:r>
      <w:r w:rsidR="00F73BCC">
        <w:t xml:space="preserve">  The word securities was therefore being used in the </w:t>
      </w:r>
      <w:r w:rsidR="008E2ADB">
        <w:t>‘</w:t>
      </w:r>
      <w:r w:rsidR="00F73BCC">
        <w:t>narrow</w:t>
      </w:r>
      <w:r w:rsidR="00A633CB">
        <w:t>er</w:t>
      </w:r>
      <w:r w:rsidR="00F73BCC">
        <w:t xml:space="preserve"> and technical sense</w:t>
      </w:r>
      <w:r w:rsidR="008E2ADB">
        <w:t>’</w:t>
      </w:r>
      <w:r w:rsidR="00A633CB">
        <w:t>.</w:t>
      </w:r>
    </w:p>
    <w:p w14:paraId="29A20AF1" w14:textId="5C57F1D5" w:rsidR="00B20122" w:rsidRDefault="00F969E6" w:rsidP="00992CA0">
      <w:pPr>
        <w:pStyle w:val="BodyText"/>
      </w:pPr>
      <w:r>
        <w:t xml:space="preserve">This conclusion is consistent with the </w:t>
      </w:r>
      <w:r w:rsidR="0085374C">
        <w:t>historical</w:t>
      </w:r>
      <w:r w:rsidR="006D57B9">
        <w:t xml:space="preserve"> definitions of Case IV </w:t>
      </w:r>
      <w:r w:rsidR="00BD2017">
        <w:t xml:space="preserve">and Case V </w:t>
      </w:r>
      <w:r w:rsidR="00FC3D42">
        <w:t xml:space="preserve">originating </w:t>
      </w:r>
      <w:r w:rsidR="00BD2017">
        <w:t xml:space="preserve">in </w:t>
      </w:r>
      <w:r w:rsidR="00BD2017" w:rsidRPr="00F13F7D">
        <w:t xml:space="preserve">Addington’s </w:t>
      </w:r>
      <w:r w:rsidR="00052103" w:rsidRPr="00F13F7D">
        <w:t>Act</w:t>
      </w:r>
      <w:r w:rsidR="007B1D17" w:rsidRPr="00F13F7D">
        <w:t xml:space="preserve"> of 1803</w:t>
      </w:r>
      <w:r w:rsidR="007636FC">
        <w:t>.  The following is taken</w:t>
      </w:r>
      <w:r w:rsidR="00FC3D42">
        <w:t xml:space="preserve"> from the Act of 1806</w:t>
      </w:r>
      <w:r w:rsidR="00165F8D">
        <w:t>.</w:t>
      </w:r>
      <w:r w:rsidR="009D52BE">
        <w:rPr>
          <w:rStyle w:val="FootnoteReference"/>
        </w:rPr>
        <w:footnoteReference w:id="8"/>
      </w:r>
    </w:p>
    <w:p w14:paraId="29E2EF45" w14:textId="44ECB4D7" w:rsidR="00C129D1" w:rsidRDefault="0079253E" w:rsidP="00992CA0">
      <w:pPr>
        <w:pStyle w:val="BodyText"/>
      </w:pPr>
      <w:r w:rsidRPr="00BE1093">
        <w:rPr>
          <w:i/>
          <w:iCs/>
        </w:rPr>
        <w:t xml:space="preserve">Schedule D </w:t>
      </w:r>
      <w:r w:rsidR="00B20122" w:rsidRPr="00BE1093">
        <w:rPr>
          <w:i/>
          <w:iCs/>
        </w:rPr>
        <w:t>Fourth</w:t>
      </w:r>
      <w:r w:rsidRPr="00BE1093">
        <w:rPr>
          <w:i/>
          <w:iCs/>
        </w:rPr>
        <w:t xml:space="preserve"> Case</w:t>
      </w:r>
      <w:r w:rsidR="00B20122">
        <w:t>.</w:t>
      </w:r>
      <w:r w:rsidR="009C6616">
        <w:t xml:space="preserve">  The Duty is to be charged </w:t>
      </w:r>
      <w:r w:rsidR="003D018D">
        <w:t>in respect of Interest arising</w:t>
      </w:r>
      <w:r w:rsidR="00A22519">
        <w:t xml:space="preserve"> from</w:t>
      </w:r>
      <w:r w:rsidR="00AE39D1">
        <w:t xml:space="preserve"> Securities in Ireland</w:t>
      </w:r>
      <w:r w:rsidR="00EE4233">
        <w:t>, or in the British Plantations in America,</w:t>
      </w:r>
      <w:r w:rsidR="007C0B37">
        <w:t xml:space="preserve"> or in any of his Majesty’s Dominions out of Great Britain</w:t>
      </w:r>
      <w:r w:rsidR="00C13853">
        <w:t xml:space="preserve"> and Foreign Securities</w:t>
      </w:r>
      <w:r w:rsidR="007F7924">
        <w:t>,</w:t>
      </w:r>
      <w:r w:rsidR="0023680A">
        <w:t xml:space="preserve"> except such</w:t>
      </w:r>
      <w:r w:rsidR="00573BB8">
        <w:t xml:space="preserve"> Dividends and Annuities </w:t>
      </w:r>
      <w:r w:rsidR="00A04708">
        <w:t>and Shares</w:t>
      </w:r>
      <w:r w:rsidR="00AD7C79">
        <w:t>, payable out of the Revenue of Ireland, as are directed</w:t>
      </w:r>
      <w:r w:rsidR="00270B4D">
        <w:t xml:space="preserve"> </w:t>
      </w:r>
      <w:r w:rsidR="00A128F6">
        <w:t xml:space="preserve">to be charged under Schedule </w:t>
      </w:r>
      <w:r w:rsidR="00270B4D">
        <w:t>(C)</w:t>
      </w:r>
      <w:r w:rsidR="00A128F6">
        <w:t xml:space="preserve"> of this Act</w:t>
      </w:r>
      <w:r w:rsidR="00270B4D">
        <w:t>.</w:t>
      </w:r>
    </w:p>
    <w:p w14:paraId="47E2780B" w14:textId="0EC4607B" w:rsidR="00821FBD" w:rsidRDefault="0090446E" w:rsidP="00992CA0">
      <w:pPr>
        <w:pStyle w:val="BodyText"/>
      </w:pPr>
      <w:r w:rsidRPr="00BE1093">
        <w:rPr>
          <w:i/>
          <w:iCs/>
        </w:rPr>
        <w:t>Schedule D Fifth Case</w:t>
      </w:r>
      <w:r>
        <w:t>.</w:t>
      </w:r>
      <w:r w:rsidR="003C45A3">
        <w:t xml:space="preserve">  The Duty is to be charged in respect of possessions </w:t>
      </w:r>
      <w:r w:rsidR="00584D2D">
        <w:t>in Ireland, or in the British Plantations in America</w:t>
      </w:r>
      <w:r w:rsidR="00D81550">
        <w:t xml:space="preserve">, or in any other of His </w:t>
      </w:r>
      <w:r w:rsidR="00350299">
        <w:t>M</w:t>
      </w:r>
      <w:r w:rsidR="00D81550">
        <w:t>ajesty’s</w:t>
      </w:r>
      <w:r w:rsidR="007D3614">
        <w:t xml:space="preserve"> Dominions out of Great Britain</w:t>
      </w:r>
      <w:r w:rsidR="001076DD">
        <w:t>, and Foreign Possessions.</w:t>
      </w:r>
    </w:p>
    <w:p w14:paraId="1EB610C6" w14:textId="2B3E6687" w:rsidR="002C1DEF" w:rsidRDefault="00BE3A6B" w:rsidP="00992CA0">
      <w:pPr>
        <w:pStyle w:val="BodyText"/>
      </w:pPr>
      <w:r>
        <w:t>We can see here the</w:t>
      </w:r>
      <w:r w:rsidR="000572BA">
        <w:t xml:space="preserve"> differences su</w:t>
      </w:r>
      <w:r w:rsidR="000B42C0">
        <w:t>b</w:t>
      </w:r>
      <w:r w:rsidR="000572BA">
        <w:t>sequently brought out</w:t>
      </w:r>
      <w:r w:rsidR="000B42C0">
        <w:t xml:space="preserve"> in the speeches in </w:t>
      </w:r>
      <w:r w:rsidR="000B42C0" w:rsidRPr="005B430F">
        <w:rPr>
          <w:i/>
          <w:iCs/>
        </w:rPr>
        <w:t xml:space="preserve">Singer v Williams </w:t>
      </w:r>
      <w:r w:rsidR="000B42C0">
        <w:t>above</w:t>
      </w:r>
      <w:r w:rsidR="004117EE">
        <w:t>.  Interest</w:t>
      </w:r>
      <w:r w:rsidR="00F9154A">
        <w:t>,</w:t>
      </w:r>
      <w:r w:rsidR="00472D77">
        <w:t xml:space="preserve"> within Case IV,</w:t>
      </w:r>
      <w:r w:rsidR="004117EE">
        <w:t xml:space="preserve"> is </w:t>
      </w:r>
      <w:r w:rsidR="0046008E">
        <w:t>a return</w:t>
      </w:r>
      <w:r w:rsidR="004117EE">
        <w:t xml:space="preserve"> </w:t>
      </w:r>
      <w:r w:rsidR="00FD54AC">
        <w:t xml:space="preserve">which arises and is </w:t>
      </w:r>
      <w:r w:rsidR="004117EE">
        <w:t>p</w:t>
      </w:r>
      <w:r w:rsidR="0018765D">
        <w:t>ayable</w:t>
      </w:r>
      <w:r w:rsidR="004117EE">
        <w:t xml:space="preserve"> on</w:t>
      </w:r>
      <w:r w:rsidR="0046008E">
        <w:t xml:space="preserve"> an advance</w:t>
      </w:r>
      <w:r w:rsidR="0011495E">
        <w:t xml:space="preserve"> in relation to </w:t>
      </w:r>
      <w:r w:rsidR="000D26B3">
        <w:t xml:space="preserve">a principal fund which is secured </w:t>
      </w:r>
      <w:r w:rsidR="00041F53">
        <w:t>u</w:t>
      </w:r>
      <w:r w:rsidR="000D26B3">
        <w:t>nder specified terms</w:t>
      </w:r>
      <w:r w:rsidR="00041F53">
        <w:t xml:space="preserve"> of an </w:t>
      </w:r>
      <w:r w:rsidR="00334BE4">
        <w:t>agreement, while</w:t>
      </w:r>
      <w:r w:rsidR="004B51FD">
        <w:t xml:space="preserve"> Case V</w:t>
      </w:r>
      <w:r w:rsidR="00C45274">
        <w:t xml:space="preserve"> is charged</w:t>
      </w:r>
      <w:r w:rsidR="004B51FD">
        <w:t xml:space="preserve"> </w:t>
      </w:r>
      <w:r w:rsidR="00191E69">
        <w:t xml:space="preserve">in respect of </w:t>
      </w:r>
      <w:r w:rsidR="005F6D70">
        <w:t>‘</w:t>
      </w:r>
      <w:r w:rsidR="004B51FD">
        <w:t>possessions</w:t>
      </w:r>
      <w:r w:rsidR="005F6D70">
        <w:t>’</w:t>
      </w:r>
      <w:r w:rsidR="00191E69">
        <w:t xml:space="preserve"> </w:t>
      </w:r>
      <w:r w:rsidR="00085479">
        <w:t>which will include dividends which are</w:t>
      </w:r>
      <w:r w:rsidR="00384DBE">
        <w:t xml:space="preserve"> a part realisation of the possessions, the equity</w:t>
      </w:r>
      <w:r w:rsidR="00C50611">
        <w:t xml:space="preserve"> interests or shares in the company.</w:t>
      </w:r>
    </w:p>
    <w:p w14:paraId="3ACC8302" w14:textId="23A9A9D2" w:rsidR="00427969" w:rsidRDefault="00A91070" w:rsidP="00A91070">
      <w:pPr>
        <w:pStyle w:val="Heading4"/>
      </w:pPr>
      <w:r>
        <w:t>Other case law</w:t>
      </w:r>
    </w:p>
    <w:p w14:paraId="3EE4A512" w14:textId="01183CCE" w:rsidR="00612899" w:rsidRPr="005771F3" w:rsidRDefault="00F018AD" w:rsidP="00612899">
      <w:pPr>
        <w:pStyle w:val="BodyText"/>
      </w:pPr>
      <w:r>
        <w:t>There is an early stamp duty case</w:t>
      </w:r>
      <w:r w:rsidR="00C109B1">
        <w:t xml:space="preserve"> </w:t>
      </w:r>
      <w:r w:rsidR="00C109B1" w:rsidRPr="00C109B1">
        <w:rPr>
          <w:i/>
          <w:iCs/>
        </w:rPr>
        <w:t>Brown, Shipley &amp; Co v I</w:t>
      </w:r>
      <w:r w:rsidR="00633B94">
        <w:rPr>
          <w:i/>
          <w:iCs/>
        </w:rPr>
        <w:t xml:space="preserve">nland </w:t>
      </w:r>
      <w:r w:rsidR="00C109B1" w:rsidRPr="00C109B1">
        <w:rPr>
          <w:i/>
          <w:iCs/>
        </w:rPr>
        <w:t>R</w:t>
      </w:r>
      <w:r w:rsidR="00633B94">
        <w:rPr>
          <w:i/>
          <w:iCs/>
        </w:rPr>
        <w:t xml:space="preserve">evenue </w:t>
      </w:r>
      <w:r w:rsidR="00C109B1" w:rsidRPr="00C109B1">
        <w:rPr>
          <w:i/>
          <w:iCs/>
        </w:rPr>
        <w:t>C</w:t>
      </w:r>
      <w:r w:rsidR="00633B94">
        <w:rPr>
          <w:i/>
          <w:iCs/>
        </w:rPr>
        <w:t>ommissioners</w:t>
      </w:r>
      <w:r w:rsidR="00C109B1">
        <w:rPr>
          <w:rStyle w:val="FootnoteReference"/>
          <w:i/>
          <w:iCs/>
        </w:rPr>
        <w:footnoteReference w:id="9"/>
      </w:r>
      <w:r w:rsidR="005B430F">
        <w:rPr>
          <w:i/>
          <w:iCs/>
        </w:rPr>
        <w:t xml:space="preserve"> </w:t>
      </w:r>
      <w:r w:rsidR="00380C72">
        <w:t xml:space="preserve">which considered the meaning of </w:t>
      </w:r>
      <w:r w:rsidR="005F6D70">
        <w:t>‘</w:t>
      </w:r>
      <w:r w:rsidR="00380C72">
        <w:t>marketable security</w:t>
      </w:r>
      <w:r w:rsidR="00491744">
        <w:t>’</w:t>
      </w:r>
      <w:r w:rsidR="002420CC">
        <w:t>.  A</w:t>
      </w:r>
      <w:r w:rsidR="00D71051">
        <w:t xml:space="preserve"> </w:t>
      </w:r>
      <w:r w:rsidR="00D71051" w:rsidRPr="00D71051">
        <w:t>secured promissory note issued by a railway company, whose security consisted of a deposit of gold bonds held on trust for the holder</w:t>
      </w:r>
      <w:r w:rsidR="004837C7">
        <w:t xml:space="preserve">, was </w:t>
      </w:r>
      <w:r w:rsidR="00D42FA3">
        <w:t>considered</w:t>
      </w:r>
      <w:r w:rsidR="004837C7">
        <w:t xml:space="preserve"> by </w:t>
      </w:r>
      <w:r w:rsidR="00D71051" w:rsidRPr="00D71051">
        <w:t xml:space="preserve">Lord Esher </w:t>
      </w:r>
      <w:r w:rsidR="001E38FE">
        <w:t>to be a security on the ground that</w:t>
      </w:r>
      <w:r w:rsidR="002C3C80">
        <w:t xml:space="preserve"> there was a</w:t>
      </w:r>
      <w:r w:rsidR="00D71051" w:rsidRPr="00D71051">
        <w:t xml:space="preserve"> promise that the holder of the note ‘shall have the security’</w:t>
      </w:r>
      <w:r w:rsidR="001A7154">
        <w:t xml:space="preserve">, </w:t>
      </w:r>
      <w:r w:rsidR="00D71051" w:rsidRPr="00D71051">
        <w:t xml:space="preserve">the benefit of the gold bonds. </w:t>
      </w:r>
      <w:r w:rsidR="008A4EF0">
        <w:t>I</w:t>
      </w:r>
      <w:r w:rsidR="00D71051" w:rsidRPr="00D71051">
        <w:t xml:space="preserve">t was the availability of the collateral against the loan that made the promissory note a </w:t>
      </w:r>
      <w:r w:rsidR="00675896">
        <w:t>‘</w:t>
      </w:r>
      <w:r w:rsidR="00D71051" w:rsidRPr="00D71051">
        <w:t>security</w:t>
      </w:r>
      <w:r w:rsidR="00675896">
        <w:t>’</w:t>
      </w:r>
      <w:r w:rsidR="00130728">
        <w:t xml:space="preserve"> in this context.</w:t>
      </w:r>
    </w:p>
    <w:p w14:paraId="5CBABD16" w14:textId="703E2044" w:rsidR="001A6500" w:rsidRDefault="005A26E5" w:rsidP="001A6500">
      <w:pPr>
        <w:pStyle w:val="BodyText"/>
      </w:pPr>
      <w:r>
        <w:t xml:space="preserve">In </w:t>
      </w:r>
      <w:r w:rsidR="00A364D0" w:rsidRPr="00204085">
        <w:rPr>
          <w:i/>
          <w:iCs/>
        </w:rPr>
        <w:t>Cleveleys</w:t>
      </w:r>
      <w:r w:rsidR="00480420" w:rsidRPr="00204085">
        <w:rPr>
          <w:i/>
          <w:iCs/>
        </w:rPr>
        <w:t xml:space="preserve"> Investment Trust Co v I</w:t>
      </w:r>
      <w:r w:rsidR="00633B94">
        <w:rPr>
          <w:i/>
          <w:iCs/>
        </w:rPr>
        <w:t xml:space="preserve">nland </w:t>
      </w:r>
      <w:r w:rsidR="00480420" w:rsidRPr="00204085">
        <w:rPr>
          <w:i/>
          <w:iCs/>
        </w:rPr>
        <w:t>R</w:t>
      </w:r>
      <w:r w:rsidR="00633B94">
        <w:rPr>
          <w:i/>
          <w:iCs/>
        </w:rPr>
        <w:t xml:space="preserve">evenue </w:t>
      </w:r>
      <w:r w:rsidR="00480420" w:rsidRPr="00204085">
        <w:rPr>
          <w:i/>
          <w:iCs/>
        </w:rPr>
        <w:t>C</w:t>
      </w:r>
      <w:r w:rsidR="00633B94">
        <w:rPr>
          <w:i/>
          <w:iCs/>
        </w:rPr>
        <w:t>ommissioners</w:t>
      </w:r>
      <w:r w:rsidR="008D4EB1">
        <w:rPr>
          <w:i/>
          <w:iCs/>
        </w:rPr>
        <w:t xml:space="preserve"> (</w:t>
      </w:r>
      <w:r w:rsidR="006B7023">
        <w:rPr>
          <w:i/>
          <w:iCs/>
        </w:rPr>
        <w:t>No</w:t>
      </w:r>
      <w:r w:rsidR="001236FE">
        <w:rPr>
          <w:i/>
          <w:iCs/>
        </w:rPr>
        <w:t>.</w:t>
      </w:r>
      <w:r w:rsidR="006B7023">
        <w:rPr>
          <w:i/>
          <w:iCs/>
        </w:rPr>
        <w:t>1)</w:t>
      </w:r>
      <w:r w:rsidR="00126FBF">
        <w:rPr>
          <w:rStyle w:val="FootnoteReference"/>
          <w:i/>
          <w:iCs/>
        </w:rPr>
        <w:footnoteReference w:id="10"/>
      </w:r>
      <w:r w:rsidR="00204085">
        <w:t xml:space="preserve"> the issue</w:t>
      </w:r>
      <w:r w:rsidR="00EB2ADB">
        <w:t xml:space="preserve"> was </w:t>
      </w:r>
      <w:r w:rsidR="00633B94">
        <w:t>‘</w:t>
      </w:r>
      <w:r w:rsidR="00EB2ADB">
        <w:t>debt on a security</w:t>
      </w:r>
      <w:r w:rsidR="00633B94">
        <w:t>’</w:t>
      </w:r>
      <w:r w:rsidR="00F23BEB">
        <w:t xml:space="preserve">, but the meaning of security </w:t>
      </w:r>
      <w:r w:rsidR="000C1FB5">
        <w:t xml:space="preserve">itself </w:t>
      </w:r>
      <w:r w:rsidR="00F23BEB">
        <w:t>was al</w:t>
      </w:r>
      <w:r w:rsidR="001B35F5">
        <w:t>s</w:t>
      </w:r>
      <w:r w:rsidR="00F23BEB">
        <w:t>o considered</w:t>
      </w:r>
      <w:r w:rsidR="00195993">
        <w:t>.  The</w:t>
      </w:r>
      <w:r w:rsidR="00693E48">
        <w:t xml:space="preserve"> appeal</w:t>
      </w:r>
      <w:r w:rsidR="00633B94">
        <w:t xml:space="preserve"> tribunal (the Special</w:t>
      </w:r>
      <w:r w:rsidR="00693E48">
        <w:t xml:space="preserve"> </w:t>
      </w:r>
      <w:r w:rsidR="004148E3">
        <w:t>Commissioners</w:t>
      </w:r>
      <w:r w:rsidR="00633B94">
        <w:t>)</w:t>
      </w:r>
      <w:r w:rsidR="004148E3">
        <w:t xml:space="preserve"> interpreted</w:t>
      </w:r>
      <w:r w:rsidR="004C2389">
        <w:t xml:space="preserve"> </w:t>
      </w:r>
      <w:r w:rsidR="001C712A">
        <w:t>‘</w:t>
      </w:r>
      <w:r w:rsidR="004C2389">
        <w:t>security</w:t>
      </w:r>
      <w:r w:rsidR="001C712A">
        <w:t>’</w:t>
      </w:r>
      <w:r w:rsidR="004C2389">
        <w:t xml:space="preserve"> in this</w:t>
      </w:r>
      <w:r w:rsidR="00E96076">
        <w:t xml:space="preserve"> context</w:t>
      </w:r>
      <w:r w:rsidR="007D0AFE">
        <w:t xml:space="preserve"> as a right to secure </w:t>
      </w:r>
      <w:r w:rsidR="00B41F19">
        <w:t>payment</w:t>
      </w:r>
      <w:r w:rsidR="00C168A4">
        <w:t xml:space="preserve"> by reference to</w:t>
      </w:r>
      <w:r w:rsidR="009E21F4">
        <w:t xml:space="preserve"> some </w:t>
      </w:r>
      <w:r w:rsidR="000465B2">
        <w:t>property or fund other than a</w:t>
      </w:r>
      <w:r w:rsidR="00511C24">
        <w:t xml:space="preserve"> right </w:t>
      </w:r>
      <w:r w:rsidR="00C2142C">
        <w:rPr>
          <w:i/>
          <w:iCs/>
        </w:rPr>
        <w:t>in personam</w:t>
      </w:r>
      <w:r w:rsidR="00511C24">
        <w:t xml:space="preserve"> against the debtor</w:t>
      </w:r>
      <w:r w:rsidR="005718C1">
        <w:t>.  On the particular facts</w:t>
      </w:r>
      <w:r w:rsidR="00426F98">
        <w:t xml:space="preserve"> under consideration the </w:t>
      </w:r>
      <w:r w:rsidR="008E6708">
        <w:t>Special</w:t>
      </w:r>
      <w:r w:rsidR="00426F98">
        <w:t xml:space="preserve"> Commissioners decided that</w:t>
      </w:r>
      <w:r w:rsidR="004D6349">
        <w:t xml:space="preserve"> n</w:t>
      </w:r>
      <w:r w:rsidR="00680654">
        <w:t>either</w:t>
      </w:r>
      <w:r w:rsidR="004D6349">
        <w:t xml:space="preserve"> of the documents</w:t>
      </w:r>
      <w:r w:rsidR="00CD5287">
        <w:t xml:space="preserve"> examined, a l</w:t>
      </w:r>
      <w:r w:rsidR="002C1459">
        <w:t>etter</w:t>
      </w:r>
      <w:r w:rsidR="00B836A4">
        <w:t xml:space="preserve"> of understanding</w:t>
      </w:r>
      <w:r w:rsidR="00680654">
        <w:t xml:space="preserve"> and </w:t>
      </w:r>
      <w:r w:rsidR="002C1459">
        <w:t>a bill of exchange</w:t>
      </w:r>
      <w:r w:rsidR="00E265F1">
        <w:t xml:space="preserve">, </w:t>
      </w:r>
      <w:r w:rsidR="00351655">
        <w:t>amounted to a security</w:t>
      </w:r>
      <w:r w:rsidR="00907B99">
        <w:t xml:space="preserve">.  </w:t>
      </w:r>
      <w:r w:rsidR="00E72248">
        <w:t>L</w:t>
      </w:r>
      <w:r w:rsidR="00CE37FC">
        <w:t>ord Migdale in</w:t>
      </w:r>
      <w:r w:rsidR="00B836A4">
        <w:t xml:space="preserve"> </w:t>
      </w:r>
      <w:r w:rsidR="001A613A">
        <w:t xml:space="preserve">the </w:t>
      </w:r>
      <w:r w:rsidR="00B836A4">
        <w:t xml:space="preserve">Court of Session </w:t>
      </w:r>
      <w:r w:rsidR="00B836A4">
        <w:lastRenderedPageBreak/>
        <w:t>(First Division)</w:t>
      </w:r>
      <w:r w:rsidR="001A613A">
        <w:t xml:space="preserve">, </w:t>
      </w:r>
      <w:r w:rsidR="00C82C85">
        <w:t>i</w:t>
      </w:r>
      <w:r w:rsidR="00104C14">
        <w:t xml:space="preserve">n a dissenting judgment, </w:t>
      </w:r>
      <w:r w:rsidR="00B61D3A">
        <w:t>said he did not wholly agree with the Commissioners</w:t>
      </w:r>
      <w:r w:rsidR="00F44938">
        <w:t>’ reasoning while agreeing with their conclusion</w:t>
      </w:r>
      <w:r w:rsidR="00E5457F">
        <w:t xml:space="preserve">.  He </w:t>
      </w:r>
      <w:r w:rsidR="005A2D96">
        <w:t>went on</w:t>
      </w:r>
      <w:r w:rsidR="00C82C85">
        <w:t>:</w:t>
      </w:r>
    </w:p>
    <w:p w14:paraId="5EEC243B" w14:textId="3CA7FBBB" w:rsidR="00746679" w:rsidRDefault="00746679" w:rsidP="00307474">
      <w:pPr>
        <w:pStyle w:val="BodyText"/>
        <w:ind w:left="720"/>
      </w:pPr>
      <w:r w:rsidRPr="00746679">
        <w:t xml:space="preserve">The word ‘security’ has two meanings. It may refer to some property deposited or made over or some obligation entered into by or on behalf of a person in order to secure his fulfilment of an obligation he has undertaken. </w:t>
      </w:r>
      <w:r w:rsidR="00DD3721">
        <w:t xml:space="preserve"> </w:t>
      </w:r>
      <w:r w:rsidRPr="00746679">
        <w:t xml:space="preserve">Or it may refer to a document held by a creditor as evidence or a guarantee of his right to repayment. (See </w:t>
      </w:r>
      <w:r w:rsidRPr="00402937">
        <w:rPr>
          <w:i/>
          <w:iCs/>
        </w:rPr>
        <w:t>Shorter Oxford English Dictionary</w:t>
      </w:r>
      <w:r w:rsidRPr="00746679">
        <w:t>, vol. 2.) I think that the words ‘the debt on a security’ refer to an obligation to pay or repay embodied in a share or stock certificate issued by a government, local authority or company which is evidence of the ownership of the share or stock and so of the right to receive payment. This reading of this section enables me to give some effect to the words ‘whether secured or unsecured’</w:t>
      </w:r>
      <w:r w:rsidR="00C82C85">
        <w:t>.</w:t>
      </w:r>
    </w:p>
    <w:p w14:paraId="5D5AD2B7" w14:textId="1B13F25B" w:rsidR="00310D74" w:rsidRDefault="005D221A" w:rsidP="005D221A">
      <w:pPr>
        <w:pStyle w:val="BodyText"/>
      </w:pPr>
      <w:r>
        <w:t xml:space="preserve">In </w:t>
      </w:r>
      <w:r w:rsidRPr="00AD1EBF">
        <w:rPr>
          <w:i/>
          <w:iCs/>
        </w:rPr>
        <w:t>WT Ramsay</w:t>
      </w:r>
      <w:r w:rsidR="00633B94">
        <w:rPr>
          <w:i/>
          <w:iCs/>
        </w:rPr>
        <w:t xml:space="preserve"> Ltd</w:t>
      </w:r>
      <w:r w:rsidRPr="00AD1EBF">
        <w:rPr>
          <w:i/>
          <w:iCs/>
        </w:rPr>
        <w:t xml:space="preserve"> v I</w:t>
      </w:r>
      <w:r w:rsidR="00633B94">
        <w:rPr>
          <w:i/>
          <w:iCs/>
        </w:rPr>
        <w:t xml:space="preserve">nland </w:t>
      </w:r>
      <w:r w:rsidRPr="00AD1EBF">
        <w:rPr>
          <w:i/>
          <w:iCs/>
        </w:rPr>
        <w:t>R</w:t>
      </w:r>
      <w:r w:rsidR="00633B94">
        <w:rPr>
          <w:i/>
          <w:iCs/>
        </w:rPr>
        <w:t xml:space="preserve">evenue </w:t>
      </w:r>
      <w:r w:rsidRPr="00AD1EBF">
        <w:rPr>
          <w:i/>
          <w:iCs/>
        </w:rPr>
        <w:t>C</w:t>
      </w:r>
      <w:r w:rsidR="00633B94">
        <w:rPr>
          <w:i/>
          <w:iCs/>
        </w:rPr>
        <w:t>ommissioners</w:t>
      </w:r>
      <w:r w:rsidR="005448A4">
        <w:rPr>
          <w:rStyle w:val="FootnoteReference"/>
        </w:rPr>
        <w:footnoteReference w:id="11"/>
      </w:r>
      <w:r w:rsidR="00FD0DF3">
        <w:t xml:space="preserve"> it was held that, as respects a debt on a security</w:t>
      </w:r>
      <w:r w:rsidR="00996D65">
        <w:t xml:space="preserve">, marketability, the </w:t>
      </w:r>
      <w:r w:rsidR="002628C9">
        <w:t>characteristic of being capable of being realised, or dealt with at a profit,</w:t>
      </w:r>
      <w:r w:rsidR="00F40573">
        <w:t xml:space="preserve"> was of the essence.</w:t>
      </w:r>
      <w:r w:rsidR="00B10D81">
        <w:t xml:space="preserve">  </w:t>
      </w:r>
      <w:r w:rsidR="006B2E9A">
        <w:t>Lord Wilberforce observed that</w:t>
      </w:r>
      <w:r w:rsidR="004615BC">
        <w:t xml:space="preserve"> a debt, to qualify as a debt on a security</w:t>
      </w:r>
      <w:r w:rsidR="00310180">
        <w:t>, need not necessarily be</w:t>
      </w:r>
      <w:r w:rsidR="00596642">
        <w:t xml:space="preserve"> constituted or evidenced by a document</w:t>
      </w:r>
      <w:r w:rsidR="00056E82">
        <w:t xml:space="preserve">.  Its existence may be an indicative </w:t>
      </w:r>
      <w:r w:rsidR="00967F0D">
        <w:t>factor,</w:t>
      </w:r>
      <w:r w:rsidR="009A01C4">
        <w:t xml:space="preserve"> but its absence is not fatal</w:t>
      </w:r>
      <w:r w:rsidR="00890D54">
        <w:t>.</w:t>
      </w:r>
      <w:r w:rsidR="002614B1">
        <w:rPr>
          <w:rStyle w:val="FootnoteReference"/>
        </w:rPr>
        <w:footnoteReference w:id="12"/>
      </w:r>
    </w:p>
    <w:p w14:paraId="592A3289" w14:textId="307EBE81" w:rsidR="0010364D" w:rsidRDefault="00393735" w:rsidP="0010364D">
      <w:pPr>
        <w:pStyle w:val="BodyText"/>
      </w:pPr>
      <w:r>
        <w:t xml:space="preserve">In </w:t>
      </w:r>
      <w:r w:rsidR="00625072" w:rsidRPr="005A4EF8">
        <w:rPr>
          <w:i/>
          <w:iCs/>
        </w:rPr>
        <w:t>Shaw v Samuel Monatagu</w:t>
      </w:r>
      <w:r w:rsidR="00556B98" w:rsidRPr="005A4EF8">
        <w:rPr>
          <w:i/>
          <w:iCs/>
        </w:rPr>
        <w:t xml:space="preserve"> &amp; Co Ltd</w:t>
      </w:r>
      <w:r w:rsidR="004E4990">
        <w:rPr>
          <w:rStyle w:val="FootnoteReference"/>
        </w:rPr>
        <w:footnoteReference w:id="13"/>
      </w:r>
      <w:r w:rsidR="002F3AA2">
        <w:t xml:space="preserve"> the </w:t>
      </w:r>
      <w:r w:rsidR="005C7723">
        <w:t>Special</w:t>
      </w:r>
      <w:r w:rsidR="002F3AA2">
        <w:t xml:space="preserve"> Commissioner considered</w:t>
      </w:r>
      <w:r w:rsidR="005C7723">
        <w:t xml:space="preserve"> whether the company’s holding</w:t>
      </w:r>
      <w:r w:rsidR="00BE2237">
        <w:t>s</w:t>
      </w:r>
      <w:r w:rsidR="005C7723">
        <w:t xml:space="preserve"> of </w:t>
      </w:r>
      <w:r w:rsidR="00BE2237">
        <w:t>metals were securities</w:t>
      </w:r>
      <w:r w:rsidR="00F87409">
        <w:t>.  He said:</w:t>
      </w:r>
    </w:p>
    <w:p w14:paraId="5CA8FDD1" w14:textId="77777777" w:rsidR="00F87409" w:rsidRPr="00F87409" w:rsidRDefault="00F87409" w:rsidP="00CE2294">
      <w:pPr>
        <w:pStyle w:val="BodyText"/>
        <w:ind w:left="720"/>
      </w:pPr>
      <w:r w:rsidRPr="00F87409">
        <w:t>Everyday usage has widened the meaning of the word ‘securities’ significantly since 1921, but in 1959 </w:t>
      </w:r>
      <w:r w:rsidRPr="00F87409">
        <w:rPr>
          <w:i/>
          <w:iCs/>
        </w:rPr>
        <w:t>Vaisey</w:t>
      </w:r>
      <w:r w:rsidRPr="00F87409">
        <w:t> J did not find it difficult to determine what was not included within the definition of that word. He said, in </w:t>
      </w:r>
      <w:r w:rsidRPr="00F87409">
        <w:rPr>
          <w:i/>
          <w:iCs/>
        </w:rPr>
        <w:t>Re Douglas</w:t>
      </w:r>
      <w:r w:rsidRPr="00F87409">
        <w:t>, at p. 749:</w:t>
      </w:r>
    </w:p>
    <w:p w14:paraId="5A1E0FAB" w14:textId="3A570AF6" w:rsidR="00F87409" w:rsidRPr="00F87409" w:rsidRDefault="00F87409" w:rsidP="003736B9">
      <w:pPr>
        <w:pStyle w:val="BodyText"/>
        <w:ind w:left="1440"/>
      </w:pPr>
      <w:r w:rsidRPr="00F87409">
        <w:t xml:space="preserve">I think that </w:t>
      </w:r>
      <w:r w:rsidR="008D1588">
        <w:t>‘</w:t>
      </w:r>
      <w:r w:rsidRPr="00F87409">
        <w:t>securities</w:t>
      </w:r>
      <w:r w:rsidR="008D1588">
        <w:t>’</w:t>
      </w:r>
      <w:r w:rsidRPr="00F87409">
        <w:t xml:space="preserve"> means investments and </w:t>
      </w:r>
      <w:r w:rsidR="00564AD2">
        <w:t>‘</w:t>
      </w:r>
      <w:r w:rsidRPr="00F87409">
        <w:t>investments</w:t>
      </w:r>
      <w:r w:rsidR="008D1588">
        <w:t>’</w:t>
      </w:r>
      <w:r w:rsidRPr="00F87409">
        <w:t xml:space="preserve"> means, as the law now stands, investments authorised by law; that is to say, mortgages, stocks and shares, bonds, or investments authorised under the Act.</w:t>
      </w:r>
    </w:p>
    <w:p w14:paraId="4E4BFDAB" w14:textId="02B5C852" w:rsidR="00F87409" w:rsidRPr="00F87409" w:rsidRDefault="00F87409" w:rsidP="003736B9">
      <w:pPr>
        <w:pStyle w:val="BodyText"/>
        <w:ind w:left="1440"/>
      </w:pPr>
      <w:r w:rsidRPr="00F87409">
        <w:t xml:space="preserve">Once you say that </w:t>
      </w:r>
      <w:r w:rsidR="00564AD2">
        <w:t>‘</w:t>
      </w:r>
      <w:r w:rsidRPr="00F87409">
        <w:t>investments</w:t>
      </w:r>
      <w:r w:rsidR="00564AD2">
        <w:t>’</w:t>
      </w:r>
      <w:r w:rsidRPr="00F87409">
        <w:t xml:space="preserve"> means any property at all, I do not see how you are going to exclude jewellery and wild cat investments such as gold mines in Alaska. </w:t>
      </w:r>
      <w:r w:rsidR="00416038">
        <w:t>‘</w:t>
      </w:r>
      <w:r w:rsidRPr="00F87409">
        <w:t>Securities</w:t>
      </w:r>
      <w:r w:rsidR="00416038">
        <w:t>’</w:t>
      </w:r>
      <w:r w:rsidRPr="00F87409">
        <w:t xml:space="preserve"> is not confined to secured investments, but I think that it means investments and investments within the authorised range.</w:t>
      </w:r>
    </w:p>
    <w:p w14:paraId="064375A5" w14:textId="260B2939" w:rsidR="00F87409" w:rsidRDefault="00F87409" w:rsidP="004907F1">
      <w:pPr>
        <w:pStyle w:val="BodyText"/>
        <w:ind w:left="720"/>
      </w:pPr>
      <w:r w:rsidRPr="00F87409">
        <w:t xml:space="preserve">Having considered the facts of the present case in the light of the authorities I am not prepared to hold that the company’s stocks of bullion constituted securities for the purposes of para. 28(2)(a). The statute itself has widened the definition to include stocks and shares. I infer from that widening that the draftsman considered that without those words in parenthesis there might be some doubt </w:t>
      </w:r>
      <w:r w:rsidRPr="00F87409">
        <w:lastRenderedPageBreak/>
        <w:t xml:space="preserve">as to whether stocks and shares were included. </w:t>
      </w:r>
      <w:r w:rsidR="00260EA9">
        <w:t xml:space="preserve"> </w:t>
      </w:r>
      <w:r w:rsidRPr="00F87409">
        <w:t>I do not believe that the legislature contemplated stocks of bullion being labelled as ‘securities’, any more than </w:t>
      </w:r>
      <w:r w:rsidRPr="00F87409">
        <w:rPr>
          <w:i/>
          <w:iCs/>
        </w:rPr>
        <w:t>Vaisey</w:t>
      </w:r>
      <w:r w:rsidRPr="00F87409">
        <w:t> J thought that it contemplated the definition including jewellery or wild cat investments such as gold mines in Alaska.</w:t>
      </w:r>
      <w:bookmarkStart w:id="0" w:name="400"/>
      <w:bookmarkEnd w:id="0"/>
    </w:p>
    <w:p w14:paraId="1050522D" w14:textId="6E97D383" w:rsidR="00F4136F" w:rsidRDefault="009655F1" w:rsidP="00F4136F">
      <w:pPr>
        <w:pStyle w:val="BodyText"/>
      </w:pPr>
      <w:r>
        <w:t>Scott J in the High Court</w:t>
      </w:r>
      <w:r w:rsidR="00912646">
        <w:t xml:space="preserve"> did not address</w:t>
      </w:r>
      <w:r w:rsidR="00577A0B">
        <w:t xml:space="preserve"> the</w:t>
      </w:r>
      <w:r w:rsidR="00C745AF">
        <w:t xml:space="preserve"> Special Commissioner’s</w:t>
      </w:r>
      <w:r w:rsidR="00BF43FE">
        <w:t xml:space="preserve"> analysis of </w:t>
      </w:r>
      <w:r w:rsidR="00FA3503">
        <w:t>‘</w:t>
      </w:r>
      <w:r w:rsidR="00BF43FE">
        <w:t>securities</w:t>
      </w:r>
      <w:r w:rsidR="00FA3503">
        <w:t>’</w:t>
      </w:r>
      <w:r w:rsidR="00090697">
        <w:t xml:space="preserve"> but it remains of persuasive authority.</w:t>
      </w:r>
    </w:p>
    <w:p w14:paraId="3850A494" w14:textId="4289DA10" w:rsidR="00CC0556" w:rsidRDefault="00E974B4" w:rsidP="00F4136F">
      <w:pPr>
        <w:pStyle w:val="BodyText"/>
      </w:pPr>
      <w:r>
        <w:t xml:space="preserve">In </w:t>
      </w:r>
      <w:r w:rsidRPr="005A4EF8">
        <w:rPr>
          <w:i/>
          <w:iCs/>
        </w:rPr>
        <w:t>I</w:t>
      </w:r>
      <w:r w:rsidR="000C1FB5">
        <w:rPr>
          <w:i/>
          <w:iCs/>
        </w:rPr>
        <w:t xml:space="preserve">nland </w:t>
      </w:r>
      <w:r w:rsidRPr="005A4EF8">
        <w:rPr>
          <w:i/>
          <w:iCs/>
        </w:rPr>
        <w:t>R</w:t>
      </w:r>
      <w:r w:rsidR="000C1FB5">
        <w:rPr>
          <w:i/>
          <w:iCs/>
        </w:rPr>
        <w:t xml:space="preserve">evenue </w:t>
      </w:r>
      <w:r w:rsidR="00D96BA7" w:rsidRPr="005A4EF8">
        <w:rPr>
          <w:i/>
          <w:iCs/>
        </w:rPr>
        <w:t>C</w:t>
      </w:r>
      <w:r w:rsidR="00D96BA7">
        <w:rPr>
          <w:i/>
          <w:iCs/>
        </w:rPr>
        <w:t>ommissioners</w:t>
      </w:r>
      <w:r w:rsidRPr="005A4EF8">
        <w:rPr>
          <w:i/>
          <w:iCs/>
        </w:rPr>
        <w:t xml:space="preserve"> v Parker</w:t>
      </w:r>
      <w:r w:rsidR="00B80534">
        <w:rPr>
          <w:rStyle w:val="FootnoteReference"/>
        </w:rPr>
        <w:footnoteReference w:id="14"/>
      </w:r>
      <w:r w:rsidR="003031FA">
        <w:t>, Ungoed</w:t>
      </w:r>
      <w:r w:rsidR="00145883">
        <w:t>-Thomas J</w:t>
      </w:r>
      <w:r w:rsidR="004340CA">
        <w:t>, having observed that</w:t>
      </w:r>
      <w:r w:rsidR="00FB36FD">
        <w:t xml:space="preserve"> the legislation in question,</w:t>
      </w:r>
      <w:r w:rsidR="00ED644B">
        <w:t xml:space="preserve"> section 28 FA 1960</w:t>
      </w:r>
      <w:r w:rsidR="00D96BA7">
        <w:rPr>
          <w:rStyle w:val="FootnoteReference"/>
        </w:rPr>
        <w:footnoteReference w:id="15"/>
      </w:r>
      <w:r w:rsidR="00ED644B">
        <w:t>, was anti-avoidance legislation</w:t>
      </w:r>
      <w:r w:rsidR="009D0688">
        <w:t xml:space="preserve"> applying in a field of </w:t>
      </w:r>
      <w:r w:rsidR="00F61F31">
        <w:t xml:space="preserve">company operations in a </w:t>
      </w:r>
      <w:r w:rsidR="009D0688">
        <w:t xml:space="preserve">commercial </w:t>
      </w:r>
      <w:r w:rsidR="00F61F31">
        <w:t>context</w:t>
      </w:r>
      <w:r w:rsidR="0022299E">
        <w:t xml:space="preserve">, </w:t>
      </w:r>
      <w:r w:rsidR="009304E7">
        <w:t>held that</w:t>
      </w:r>
      <w:r w:rsidR="0022299E">
        <w:t xml:space="preserve"> the legislation should be applied</w:t>
      </w:r>
      <w:r w:rsidR="008D78C4">
        <w:t xml:space="preserve"> accordingly.  </w:t>
      </w:r>
      <w:r w:rsidR="00414DB0">
        <w:t>‘</w:t>
      </w:r>
      <w:r w:rsidR="008D78C4">
        <w:t>Securities</w:t>
      </w:r>
      <w:r w:rsidR="00414DB0">
        <w:t>’</w:t>
      </w:r>
      <w:r w:rsidR="008D78C4">
        <w:t xml:space="preserve"> is not a term of art</w:t>
      </w:r>
      <w:r w:rsidR="00A516E7">
        <w:t xml:space="preserve"> and has no precise meaning</w:t>
      </w:r>
      <w:r w:rsidR="00D87EBE">
        <w:t xml:space="preserve"> – it might refer to security</w:t>
      </w:r>
      <w:r w:rsidR="00CE689F">
        <w:t xml:space="preserve"> secured on real estate or</w:t>
      </w:r>
      <w:r w:rsidR="00042AEA">
        <w:t xml:space="preserve"> </w:t>
      </w:r>
      <w:r w:rsidR="00CE689F">
        <w:t>b</w:t>
      </w:r>
      <w:r w:rsidR="00042AEA">
        <w:t>y</w:t>
      </w:r>
      <w:r w:rsidR="00CE689F">
        <w:t xml:space="preserve"> personal covenant or to shares and investments generally.</w:t>
      </w:r>
      <w:r w:rsidR="0022299E">
        <w:t xml:space="preserve"> </w:t>
      </w:r>
      <w:r w:rsidR="005F317A">
        <w:t xml:space="preserve"> </w:t>
      </w:r>
      <w:r w:rsidR="00E73E00">
        <w:t>After</w:t>
      </w:r>
      <w:r w:rsidR="004955EC">
        <w:t xml:space="preserve"> reviewing caselaw</w:t>
      </w:r>
      <w:r w:rsidR="005F317A">
        <w:t xml:space="preserve"> he stated</w:t>
      </w:r>
      <w:r w:rsidR="004955EC">
        <w:t>:</w:t>
      </w:r>
    </w:p>
    <w:p w14:paraId="2BA5C0F9" w14:textId="18C22B57" w:rsidR="00E73E00" w:rsidRDefault="00E73E00" w:rsidP="00650501">
      <w:pPr>
        <w:pStyle w:val="BodyText"/>
        <w:ind w:left="720"/>
      </w:pPr>
      <w:r w:rsidRPr="00E73E00">
        <w:t xml:space="preserve">These cases indicate, to my mind, (1) that prima facie </w:t>
      </w:r>
      <w:r w:rsidR="00DF39C8">
        <w:t>‘</w:t>
      </w:r>
      <w:r w:rsidRPr="00E73E00">
        <w:t>security</w:t>
      </w:r>
      <w:r w:rsidR="00DF39C8">
        <w:t>’</w:t>
      </w:r>
      <w:r w:rsidRPr="00E73E00">
        <w:t xml:space="preserve"> is limited to security for the payment of a debt as contrasted with shares in the capital of a company; (2) that the context may extend its meaning to include shares; (3) that security by a docum</w:t>
      </w:r>
      <w:r w:rsidR="00134705">
        <w:t>e</w:t>
      </w:r>
      <w:r w:rsidRPr="00E73E00">
        <w:t>nt establishing personal liability and without charge on property is recognised as a form of security; (4) that it is questionable whether security in that sense would be within its prima facie meaning; but (5) even if it is not within the prima facie meaning of security, yet such security is a less extended meaning of that word than are shares.</w:t>
      </w:r>
    </w:p>
    <w:p w14:paraId="2EB05C92" w14:textId="5C1880AF" w:rsidR="00BE0D7F" w:rsidRDefault="002112DD" w:rsidP="00F4136F">
      <w:pPr>
        <w:pStyle w:val="BodyText"/>
      </w:pPr>
      <w:r>
        <w:t>Although the case reached the House of Lords</w:t>
      </w:r>
      <w:r w:rsidR="006D6264">
        <w:t xml:space="preserve"> the question of whether debentures were </w:t>
      </w:r>
      <w:r w:rsidR="00F25C35">
        <w:t>‘</w:t>
      </w:r>
      <w:r w:rsidR="006D6264">
        <w:t>secu</w:t>
      </w:r>
      <w:r w:rsidR="00425EE1">
        <w:t>rities</w:t>
      </w:r>
      <w:r w:rsidR="00685330">
        <w:t>’</w:t>
      </w:r>
      <w:r w:rsidR="00425EE1">
        <w:t xml:space="preserve"> was no longer a live issue.</w:t>
      </w:r>
    </w:p>
    <w:p w14:paraId="788DD09B" w14:textId="050F833D" w:rsidR="00984D96" w:rsidRDefault="00984D96" w:rsidP="00F4136F">
      <w:pPr>
        <w:pStyle w:val="BodyText"/>
      </w:pPr>
      <w:r>
        <w:t xml:space="preserve">In </w:t>
      </w:r>
      <w:r w:rsidR="00393E2A" w:rsidRPr="004C5729">
        <w:rPr>
          <w:i/>
          <w:iCs/>
        </w:rPr>
        <w:t>I</w:t>
      </w:r>
      <w:r w:rsidR="000C1FB5">
        <w:rPr>
          <w:i/>
          <w:iCs/>
        </w:rPr>
        <w:t xml:space="preserve">nland </w:t>
      </w:r>
      <w:r w:rsidR="00393E2A" w:rsidRPr="004C5729">
        <w:rPr>
          <w:i/>
          <w:iCs/>
        </w:rPr>
        <w:t>R</w:t>
      </w:r>
      <w:r w:rsidR="000C1FB5">
        <w:rPr>
          <w:i/>
          <w:iCs/>
        </w:rPr>
        <w:t xml:space="preserve">evenue </w:t>
      </w:r>
      <w:r w:rsidR="00393E2A" w:rsidRPr="004C5729">
        <w:rPr>
          <w:i/>
          <w:iCs/>
        </w:rPr>
        <w:t>C</w:t>
      </w:r>
      <w:r w:rsidR="000C1FB5">
        <w:rPr>
          <w:i/>
          <w:iCs/>
        </w:rPr>
        <w:t>ommissioners</w:t>
      </w:r>
      <w:r w:rsidR="00393E2A" w:rsidRPr="004C5729">
        <w:rPr>
          <w:i/>
          <w:iCs/>
        </w:rPr>
        <w:t xml:space="preserve"> v Laird Group plc</w:t>
      </w:r>
      <w:r w:rsidR="008C7710">
        <w:rPr>
          <w:rStyle w:val="FootnoteReference"/>
        </w:rPr>
        <w:footnoteReference w:id="16"/>
      </w:r>
      <w:r w:rsidR="002F3278">
        <w:t xml:space="preserve"> </w:t>
      </w:r>
      <w:r w:rsidR="009E67BD">
        <w:t xml:space="preserve">the House </w:t>
      </w:r>
      <w:r w:rsidR="00C150A9">
        <w:t>of Lords held that</w:t>
      </w:r>
      <w:r w:rsidR="002D5E13">
        <w:t>, in relation to the legislation dealing with transactions in securities</w:t>
      </w:r>
      <w:r w:rsidR="007359D4">
        <w:t>, t</w:t>
      </w:r>
      <w:r w:rsidR="007359D4" w:rsidRPr="007359D4">
        <w:t>he word ‘securities’ included not only stocks and shares of every description, including preference shares, but also debentures</w:t>
      </w:r>
      <w:r w:rsidR="004C4CBF">
        <w:rPr>
          <w:rStyle w:val="FootnoteReference"/>
        </w:rPr>
        <w:footnoteReference w:id="17"/>
      </w:r>
      <w:r w:rsidR="007359D4" w:rsidRPr="007359D4">
        <w:t xml:space="preserve"> and unsecured loan notes.</w:t>
      </w:r>
    </w:p>
    <w:p w14:paraId="64EBFFB4" w14:textId="4E4EAB87" w:rsidR="004907F1" w:rsidRDefault="00CB43C7" w:rsidP="004D698B">
      <w:pPr>
        <w:pStyle w:val="Heading2"/>
      </w:pPr>
      <w:r>
        <w:t xml:space="preserve">Security and securities </w:t>
      </w:r>
      <w:r w:rsidR="006C0060">
        <w:t>historically</w:t>
      </w:r>
    </w:p>
    <w:p w14:paraId="096A550B" w14:textId="2487B94E" w:rsidR="00EA4E94" w:rsidRDefault="00FE62B2" w:rsidP="00A13BCA">
      <w:pPr>
        <w:pStyle w:val="BodyText"/>
      </w:pPr>
      <w:r>
        <w:t>Lord Cave thought</w:t>
      </w:r>
      <w:r w:rsidR="00205DD0">
        <w:t xml:space="preserve"> the </w:t>
      </w:r>
      <w:r w:rsidR="00255BE3">
        <w:t>‘</w:t>
      </w:r>
      <w:r w:rsidR="00205DD0">
        <w:t>normal</w:t>
      </w:r>
      <w:r w:rsidR="00255BE3">
        <w:t>’</w:t>
      </w:r>
      <w:r w:rsidR="00205DD0">
        <w:t xml:space="preserve"> meaning of securities was not in doubt</w:t>
      </w:r>
      <w:r w:rsidR="005F3CC9">
        <w:t>.  That was one hundred years ago</w:t>
      </w:r>
      <w:r w:rsidR="00254619">
        <w:t>, and language changes</w:t>
      </w:r>
      <w:r w:rsidR="00B97DF5">
        <w:t xml:space="preserve"> over time.  The next paragraphs will look at</w:t>
      </w:r>
      <w:r w:rsidR="0046705F">
        <w:t xml:space="preserve"> origin and development o</w:t>
      </w:r>
      <w:r w:rsidR="00815FE7">
        <w:t>f</w:t>
      </w:r>
      <w:r w:rsidR="0046705F">
        <w:t xml:space="preserve"> the word.</w:t>
      </w:r>
      <w:r w:rsidR="00815FE7">
        <w:t xml:space="preserve">  </w:t>
      </w:r>
      <w:r w:rsidR="00A13BCA">
        <w:t>The</w:t>
      </w:r>
      <w:r w:rsidR="006C5AB8">
        <w:t xml:space="preserve"> </w:t>
      </w:r>
      <w:r w:rsidR="006C5AB8" w:rsidRPr="008B6679">
        <w:rPr>
          <w:i/>
          <w:iCs/>
        </w:rPr>
        <w:t>O</w:t>
      </w:r>
      <w:r w:rsidR="001922D2" w:rsidRPr="008B6679">
        <w:rPr>
          <w:i/>
          <w:iCs/>
        </w:rPr>
        <w:t>xford English Dictionary</w:t>
      </w:r>
      <w:r w:rsidR="001629A0">
        <w:t xml:space="preserve"> (OED</w:t>
      </w:r>
      <w:r w:rsidR="008B6679">
        <w:t>)</w:t>
      </w:r>
      <w:r w:rsidR="00EE45DD">
        <w:rPr>
          <w:rStyle w:val="FootnoteReference"/>
        </w:rPr>
        <w:footnoteReference w:id="18"/>
      </w:r>
      <w:r w:rsidR="001922D2">
        <w:t xml:space="preserve"> </w:t>
      </w:r>
      <w:r w:rsidR="00815FE7">
        <w:t>suggest</w:t>
      </w:r>
      <w:r w:rsidR="00056D5A">
        <w:t>s</w:t>
      </w:r>
      <w:r w:rsidR="00815FE7">
        <w:t xml:space="preserve"> the meaning of the word</w:t>
      </w:r>
      <w:r w:rsidR="0041419E">
        <w:t xml:space="preserve"> </w:t>
      </w:r>
      <w:r w:rsidR="00552937">
        <w:t>‘</w:t>
      </w:r>
      <w:r w:rsidR="0041419E">
        <w:t>security</w:t>
      </w:r>
      <w:r w:rsidR="00552937">
        <w:t>’</w:t>
      </w:r>
      <w:r w:rsidR="0041419E">
        <w:t xml:space="preserve"> is </w:t>
      </w:r>
      <w:r w:rsidR="00F42E3A">
        <w:t>in fact quite protean</w:t>
      </w:r>
      <w:r w:rsidR="000110B6">
        <w:t>, though less so in the plural</w:t>
      </w:r>
      <w:r w:rsidR="003D468D">
        <w:t>.  It lists</w:t>
      </w:r>
      <w:r w:rsidR="00031E98">
        <w:t xml:space="preserve"> </w:t>
      </w:r>
      <w:r w:rsidR="003D468D">
        <w:t>nine</w:t>
      </w:r>
      <w:r w:rsidR="00031E98">
        <w:t xml:space="preserve"> main meanings </w:t>
      </w:r>
      <w:r w:rsidR="00117039">
        <w:t>of the word</w:t>
      </w:r>
      <w:r w:rsidR="00863A1A">
        <w:t xml:space="preserve"> </w:t>
      </w:r>
      <w:r w:rsidR="00031E98">
        <w:t xml:space="preserve">grouped in </w:t>
      </w:r>
      <w:r w:rsidR="008C2B9B">
        <w:t xml:space="preserve">two classes, </w:t>
      </w:r>
      <w:r w:rsidR="00863A1A">
        <w:t xml:space="preserve">the first being </w:t>
      </w:r>
      <w:r w:rsidR="008C2B9B">
        <w:t xml:space="preserve">the state </w:t>
      </w:r>
      <w:r w:rsidR="00945FCC">
        <w:t>or condition of being or feeling secure</w:t>
      </w:r>
      <w:r w:rsidR="0046715F">
        <w:t>,</w:t>
      </w:r>
      <w:r w:rsidR="00945FCC">
        <w:t xml:space="preserve"> and</w:t>
      </w:r>
      <w:r w:rsidR="00285916">
        <w:t xml:space="preserve"> </w:t>
      </w:r>
      <w:r w:rsidR="00863A1A">
        <w:t xml:space="preserve">the second </w:t>
      </w:r>
      <w:r w:rsidR="004C497B">
        <w:t xml:space="preserve">the </w:t>
      </w:r>
      <w:r w:rsidR="00285916">
        <w:t>means of being or making secure, and related senses</w:t>
      </w:r>
      <w:r w:rsidR="008B6679">
        <w:rPr>
          <w:rStyle w:val="FootnoteReference"/>
        </w:rPr>
        <w:footnoteReference w:id="19"/>
      </w:r>
      <w:r w:rsidR="0046715F">
        <w:t xml:space="preserve">.  </w:t>
      </w:r>
      <w:r w:rsidR="00DD1FB9">
        <w:t xml:space="preserve">The word security derives from </w:t>
      </w:r>
      <w:r w:rsidR="001B7D87">
        <w:t>Late Middle English securetee</w:t>
      </w:r>
      <w:r w:rsidR="00075B7B">
        <w:t xml:space="preserve"> and is of multiple origins; partly a borrowing from French securit</w:t>
      </w:r>
      <w:r w:rsidR="0027533B">
        <w:t>é</w:t>
      </w:r>
      <w:r w:rsidR="008A1153">
        <w:t xml:space="preserve"> (etymology </w:t>
      </w:r>
      <w:r w:rsidR="00193CA4">
        <w:lastRenderedPageBreak/>
        <w:t>Anglo-Norman and Middle French)</w:t>
      </w:r>
      <w:r w:rsidR="0027533B">
        <w:t xml:space="preserve"> and </w:t>
      </w:r>
      <w:r w:rsidR="002C2272">
        <w:t>partly</w:t>
      </w:r>
      <w:r w:rsidR="0027533B">
        <w:t xml:space="preserve"> a borrowing from Latin</w:t>
      </w:r>
      <w:r w:rsidR="002C2272">
        <w:t xml:space="preserve"> securitas</w:t>
      </w:r>
      <w:r w:rsidR="00834B2B">
        <w:t>.</w:t>
      </w:r>
      <w:r w:rsidR="0080334C">
        <w:t xml:space="preserve">  The tax meaning is found</w:t>
      </w:r>
      <w:r w:rsidR="00D5640A">
        <w:t xml:space="preserve"> within</w:t>
      </w:r>
      <w:r w:rsidR="00236F53">
        <w:t xml:space="preserve"> </w:t>
      </w:r>
      <w:r w:rsidR="009D1DEE">
        <w:t xml:space="preserve">class </w:t>
      </w:r>
      <w:r w:rsidR="003A4438">
        <w:t>(</w:t>
      </w:r>
      <w:r w:rsidR="00236F53">
        <w:t>II</w:t>
      </w:r>
      <w:r w:rsidR="003A4438">
        <w:t xml:space="preserve">) </w:t>
      </w:r>
      <w:r w:rsidR="00236F53">
        <w:t>5</w:t>
      </w:r>
      <w:r w:rsidR="00D03C71">
        <w:t>.e, chiefly in plural</w:t>
      </w:r>
      <w:r w:rsidR="00323776">
        <w:t xml:space="preserve">, originally a </w:t>
      </w:r>
      <w:r w:rsidR="00DD37AB">
        <w:t>document</w:t>
      </w:r>
      <w:r w:rsidR="00323776">
        <w:t xml:space="preserve"> held by a</w:t>
      </w:r>
      <w:r w:rsidR="00AA3EC8">
        <w:t xml:space="preserve"> creditor as a guarantee of the right to payment, or attesting ownership o</w:t>
      </w:r>
      <w:r w:rsidR="00DD37AB">
        <w:t>f property, stock, bonds, etc; (hence)</w:t>
      </w:r>
      <w:r w:rsidR="00870E52">
        <w:t xml:space="preserve"> the financial asset represented by such a document. Also</w:t>
      </w:r>
      <w:r w:rsidR="00D84E00">
        <w:t xml:space="preserve"> (originally and chiefly in US) such a document issued to investors to finance a business</w:t>
      </w:r>
      <w:r w:rsidR="00CD2738">
        <w:t xml:space="preserve"> venture.</w:t>
      </w:r>
    </w:p>
    <w:p w14:paraId="06B96A9D" w14:textId="77FFA929" w:rsidR="00A13BCA" w:rsidRDefault="00EA4E94" w:rsidP="00A13BCA">
      <w:pPr>
        <w:pStyle w:val="BodyText"/>
      </w:pPr>
      <w:r>
        <w:t>The oldest reference given in the OED</w:t>
      </w:r>
      <w:r w:rsidR="00297418">
        <w:t>, from 1425,</w:t>
      </w:r>
      <w:r w:rsidR="00171604">
        <w:t xml:space="preserve"> is in meaning </w:t>
      </w:r>
      <w:r w:rsidR="005F6210">
        <w:t>(</w:t>
      </w:r>
      <w:r w:rsidR="00171604">
        <w:t>I</w:t>
      </w:r>
      <w:r w:rsidR="005F6210">
        <w:t>)</w:t>
      </w:r>
      <w:r w:rsidR="003A4438">
        <w:t xml:space="preserve"> </w:t>
      </w:r>
      <w:r w:rsidR="005F6210">
        <w:t>1</w:t>
      </w:r>
      <w:r w:rsidR="00171604">
        <w:t>.a</w:t>
      </w:r>
      <w:r w:rsidR="00BB0E3B">
        <w:t>, namely</w:t>
      </w:r>
      <w:r w:rsidR="00D333DF">
        <w:t xml:space="preserve"> freedom from</w:t>
      </w:r>
      <w:r w:rsidR="009D5F99">
        <w:t xml:space="preserve"> care, anxiety or</w:t>
      </w:r>
      <w:r w:rsidR="00AA48D0">
        <w:t xml:space="preserve"> apprehension; absence of worry or anxiety;</w:t>
      </w:r>
      <w:r w:rsidR="00DB07E0">
        <w:t xml:space="preserve"> </w:t>
      </w:r>
      <w:r w:rsidR="00257BF0">
        <w:t>confidence in one’s safety or well-being</w:t>
      </w:r>
      <w:r w:rsidR="0048486D">
        <w:t xml:space="preserve">: </w:t>
      </w:r>
      <w:r w:rsidR="002E0ED2">
        <w:t>m</w:t>
      </w:r>
      <w:r w:rsidR="00DC11EC" w:rsidRPr="00DC11EC">
        <w:t xml:space="preserve">ekenesse, soburnesse, sekurite, &amp; reste loue wel </w:t>
      </w:r>
      <w:bookmarkStart w:id="1" w:name="_Hlk102581554"/>
      <w:r w:rsidR="00DC11EC" w:rsidRPr="00DC11EC">
        <w:t>þe</w:t>
      </w:r>
      <w:bookmarkEnd w:id="1"/>
      <w:r w:rsidR="00DC11EC" w:rsidRPr="00DC11EC">
        <w:t xml:space="preserve"> cumpanye of symple pouerte</w:t>
      </w:r>
      <w:r w:rsidR="00FB4119">
        <w:t>.</w:t>
      </w:r>
      <w:r w:rsidR="00185052">
        <w:rPr>
          <w:rStyle w:val="FootnoteReference"/>
        </w:rPr>
        <w:footnoteReference w:id="20"/>
      </w:r>
      <w:r w:rsidR="000E2E26">
        <w:t xml:space="preserve"> </w:t>
      </w:r>
      <w:r w:rsidR="005F1CA7">
        <w:t xml:space="preserve"> That meaning</w:t>
      </w:r>
      <w:r w:rsidR="0031283B">
        <w:t xml:space="preserve"> still survives in the</w:t>
      </w:r>
      <w:r w:rsidR="00524CCC">
        <w:t xml:space="preserve"> legal and tax usage</w:t>
      </w:r>
      <w:r w:rsidR="00477BB2">
        <w:t>, but in its</w:t>
      </w:r>
      <w:r w:rsidR="008B6679">
        <w:t xml:space="preserve"> perhaps</w:t>
      </w:r>
      <w:r w:rsidR="00477BB2">
        <w:t xml:space="preserve"> more rele</w:t>
      </w:r>
      <w:r w:rsidR="00724A19">
        <w:t xml:space="preserve">vant </w:t>
      </w:r>
      <w:r w:rsidR="001C1EE6">
        <w:t>(</w:t>
      </w:r>
      <w:r w:rsidR="00724A19">
        <w:t>II</w:t>
      </w:r>
      <w:r w:rsidR="001C1EE6">
        <w:t>)</w:t>
      </w:r>
      <w:r w:rsidR="003A4438">
        <w:t xml:space="preserve"> </w:t>
      </w:r>
      <w:r w:rsidR="00724A19">
        <w:t>5.e</w:t>
      </w:r>
      <w:r w:rsidR="00D02FD3">
        <w:t xml:space="preserve"> meaning</w:t>
      </w:r>
      <w:r w:rsidR="002F3067">
        <w:t xml:space="preserve"> the earliest</w:t>
      </w:r>
      <w:r w:rsidR="00FB3EB1">
        <w:t xml:space="preserve"> OED reference is</w:t>
      </w:r>
      <w:r w:rsidR="0075309A">
        <w:t xml:space="preserve"> from 1606</w:t>
      </w:r>
      <w:r w:rsidR="00E528F9">
        <w:t xml:space="preserve">, </w:t>
      </w:r>
      <w:r w:rsidR="00FA4843">
        <w:t xml:space="preserve">Rollock’s </w:t>
      </w:r>
      <w:r w:rsidR="007B02A8">
        <w:t>Le</w:t>
      </w:r>
      <w:r w:rsidR="00DF7372">
        <w:t>c</w:t>
      </w:r>
      <w:r w:rsidR="00FA4843">
        <w:t>tures</w:t>
      </w:r>
      <w:r w:rsidR="00315957">
        <w:t xml:space="preserve"> </w:t>
      </w:r>
      <w:r w:rsidR="00DF7372">
        <w:t>on the First Ep</w:t>
      </w:r>
      <w:r w:rsidR="00996FB1">
        <w:t>istle of Paul to the Thessalonians</w:t>
      </w:r>
      <w:r w:rsidR="00737513">
        <w:t>:</w:t>
      </w:r>
      <w:r w:rsidR="00B84FD2">
        <w:rPr>
          <w:rStyle w:val="FootnoteReference"/>
        </w:rPr>
        <w:footnoteReference w:id="21"/>
      </w:r>
      <w:r w:rsidR="00550F96">
        <w:t xml:space="preserve"> </w:t>
      </w:r>
      <w:r w:rsidR="005E4A89">
        <w:t>a</w:t>
      </w:r>
      <w:r w:rsidR="00550F96">
        <w:t xml:space="preserve">l </w:t>
      </w:r>
      <w:bookmarkStart w:id="3" w:name="_Hlk102583470"/>
      <w:r w:rsidR="00550F96">
        <w:t>the Warrands</w:t>
      </w:r>
      <w:r w:rsidR="00A85FA4">
        <w:t xml:space="preserve">, Charters and </w:t>
      </w:r>
      <w:r w:rsidR="00BB3F56">
        <w:t>S</w:t>
      </w:r>
      <w:r w:rsidR="00A85FA4">
        <w:t>ecurities, which thou hast of thy lands</w:t>
      </w:r>
      <w:bookmarkEnd w:id="3"/>
      <w:r w:rsidR="00781C28">
        <w:t>.</w:t>
      </w:r>
    </w:p>
    <w:p w14:paraId="0642542F" w14:textId="7B662B6E" w:rsidR="00FD11ED" w:rsidRDefault="00FD11ED" w:rsidP="00A13BCA">
      <w:pPr>
        <w:pStyle w:val="BodyText"/>
      </w:pPr>
      <w:r>
        <w:t>The references given by the OED</w:t>
      </w:r>
      <w:r w:rsidR="009A14FF">
        <w:t xml:space="preserve"> grow </w:t>
      </w:r>
      <w:r w:rsidR="005724A6">
        <w:t xml:space="preserve">progressively </w:t>
      </w:r>
      <w:r w:rsidR="009A14FF">
        <w:t>more recognisable in modern terms</w:t>
      </w:r>
      <w:r w:rsidR="009C58B5">
        <w:t>:</w:t>
      </w:r>
    </w:p>
    <w:p w14:paraId="0690D1C2" w14:textId="0A0EB1FA" w:rsidR="009C58B5" w:rsidRPr="009C58B5" w:rsidRDefault="009C58B5" w:rsidP="009C58B5">
      <w:pPr>
        <w:pStyle w:val="BodyText"/>
      </w:pPr>
      <w:r w:rsidRPr="009C58B5">
        <w:t>1692   J. Locke </w:t>
      </w:r>
      <w:r w:rsidRPr="009C58B5">
        <w:rPr>
          <w:i/>
          <w:iCs/>
        </w:rPr>
        <w:t>Some Considerations Lowering Interest</w:t>
      </w:r>
      <w:r w:rsidRPr="009C58B5">
        <w:t> 132</w:t>
      </w:r>
      <w:r w:rsidR="00D61CF4">
        <w:t>:</w:t>
      </w:r>
      <w:r w:rsidRPr="009C58B5">
        <w:t>  But how Securities will be mended by lowering of Interest, is, I confess, beyond my Comprehension.</w:t>
      </w:r>
    </w:p>
    <w:p w14:paraId="7CCBAE9A" w14:textId="3B44F5F9" w:rsidR="009C58B5" w:rsidRPr="009C58B5" w:rsidRDefault="009C58B5" w:rsidP="009C58B5">
      <w:pPr>
        <w:pStyle w:val="BodyText"/>
      </w:pPr>
      <w:r w:rsidRPr="009C58B5">
        <w:t>1712   J. Arbuthnot </w:t>
      </w:r>
      <w:r w:rsidRPr="009C58B5">
        <w:rPr>
          <w:i/>
          <w:iCs/>
        </w:rPr>
        <w:t>John Bull Still in Senses</w:t>
      </w:r>
      <w:r w:rsidRPr="009C58B5">
        <w:t> viii. 33</w:t>
      </w:r>
      <w:r w:rsidR="009B778C">
        <w:t>:</w:t>
      </w:r>
      <w:r w:rsidRPr="009C58B5">
        <w:t>  When I wanted Money, half a dozen of these Fellows were always waiting in my Antichamber, with their Securities ready drawn.</w:t>
      </w:r>
    </w:p>
    <w:p w14:paraId="2CF653D1" w14:textId="0829EC6E" w:rsidR="009C58B5" w:rsidRPr="009C58B5" w:rsidRDefault="009C58B5" w:rsidP="009C58B5">
      <w:pPr>
        <w:pStyle w:val="BodyText"/>
      </w:pPr>
      <w:r w:rsidRPr="009C58B5">
        <w:t>1746   L</w:t>
      </w:r>
      <w:r w:rsidR="009B778C">
        <w:t>ord</w:t>
      </w:r>
      <w:r w:rsidRPr="009C58B5">
        <w:t xml:space="preserve"> Chancellor Hardwicke in J. T. Atkyns </w:t>
      </w:r>
      <w:r w:rsidRPr="009C58B5">
        <w:rPr>
          <w:i/>
          <w:iCs/>
        </w:rPr>
        <w:t>Rep. Cases Chancery</w:t>
      </w:r>
      <w:r w:rsidRPr="009C58B5">
        <w:t> (1782) III. 444</w:t>
      </w:r>
      <w:r w:rsidR="009B778C">
        <w:t>:</w:t>
      </w:r>
      <w:r w:rsidRPr="009C58B5">
        <w:t>  Neither South-Sea stock nor Bank stock are considered as a good security.</w:t>
      </w:r>
    </w:p>
    <w:p w14:paraId="00FA34CC" w14:textId="368CCE73" w:rsidR="009C58B5" w:rsidRPr="009C58B5" w:rsidRDefault="009C58B5" w:rsidP="009C58B5">
      <w:pPr>
        <w:pStyle w:val="BodyText"/>
      </w:pPr>
      <w:r w:rsidRPr="009C58B5">
        <w:t>1848 </w:t>
      </w:r>
      <w:r w:rsidR="0021517F">
        <w:t xml:space="preserve"> </w:t>
      </w:r>
      <w:r w:rsidRPr="009C58B5">
        <w:t>J. S. Mill </w:t>
      </w:r>
      <w:r w:rsidRPr="009C58B5">
        <w:rPr>
          <w:i/>
          <w:iCs/>
        </w:rPr>
        <w:t>Princ. Polit. Econ.</w:t>
      </w:r>
      <w:r w:rsidRPr="009C58B5">
        <w:t> I. i. iv. §3 76</w:t>
      </w:r>
      <w:r w:rsidR="009C74DC">
        <w:t>:</w:t>
      </w:r>
      <w:r w:rsidRPr="009C58B5">
        <w:t>  He buys from the State what are called government securities; that is, obligations by the government to pay a certain annual income.</w:t>
      </w:r>
    </w:p>
    <w:p w14:paraId="19C82E9C" w14:textId="6A61129E" w:rsidR="009C58B5" w:rsidRPr="009C58B5" w:rsidRDefault="009C58B5" w:rsidP="009C58B5">
      <w:pPr>
        <w:pStyle w:val="BodyText"/>
      </w:pPr>
      <w:r w:rsidRPr="009C58B5">
        <w:t>1879  </w:t>
      </w:r>
      <w:r w:rsidRPr="009C58B5">
        <w:rPr>
          <w:i/>
          <w:iCs/>
        </w:rPr>
        <w:t>Daily News</w:t>
      </w:r>
      <w:r w:rsidRPr="009C58B5">
        <w:t> 26 May</w:t>
      </w:r>
      <w:r w:rsidR="00B65500">
        <w:t>:</w:t>
      </w:r>
      <w:r w:rsidRPr="009C58B5">
        <w:t>  Liquid Securities, or in other words, those easily convertible into cash when necessity arises.</w:t>
      </w:r>
    </w:p>
    <w:p w14:paraId="2FB0C880" w14:textId="26037B68" w:rsidR="009C58B5" w:rsidRPr="009C58B5" w:rsidRDefault="009C58B5" w:rsidP="009C58B5">
      <w:pPr>
        <w:pStyle w:val="BodyText"/>
      </w:pPr>
      <w:r w:rsidRPr="009C58B5">
        <w:t>1925   R. H. Montgomery </w:t>
      </w:r>
      <w:r w:rsidRPr="009C58B5">
        <w:rPr>
          <w:i/>
          <w:iCs/>
        </w:rPr>
        <w:t>Financial Handbk.</w:t>
      </w:r>
      <w:r w:rsidRPr="009C58B5">
        <w:t> vii. 526</w:t>
      </w:r>
      <w:r w:rsidR="00B65500">
        <w:t>:</w:t>
      </w:r>
      <w:r w:rsidRPr="009C58B5">
        <w:t>  The financial executive</w:t>
      </w:r>
      <w:r w:rsidR="007F78CF">
        <w:t xml:space="preserve"> .</w:t>
      </w:r>
      <w:r w:rsidRPr="009C58B5">
        <w:t>..will naturally adapt the securities offered by his company so as best to fit in with the market he is trying to reach.</w:t>
      </w:r>
    </w:p>
    <w:p w14:paraId="2C08B3D3" w14:textId="79E54CAC" w:rsidR="009C58B5" w:rsidRPr="009C58B5" w:rsidRDefault="009C58B5" w:rsidP="009C58B5">
      <w:pPr>
        <w:pStyle w:val="BodyText"/>
      </w:pPr>
      <w:r w:rsidRPr="009C58B5">
        <w:t>1937   J. I. Bogen </w:t>
      </w:r>
      <w:r w:rsidRPr="009C58B5">
        <w:rPr>
          <w:i/>
          <w:iCs/>
        </w:rPr>
        <w:t>Corporation Finance</w:t>
      </w:r>
      <w:r w:rsidRPr="009C58B5">
        <w:t> xiii. 223</w:t>
      </w:r>
      <w:r w:rsidR="00B65500">
        <w:t>:</w:t>
      </w:r>
      <w:r w:rsidRPr="009C58B5">
        <w:t>  Most</w:t>
      </w:r>
      <w:r w:rsidR="008C4732">
        <w:t xml:space="preserve"> .</w:t>
      </w:r>
      <w:r w:rsidRPr="009C58B5">
        <w:t>..</w:t>
      </w:r>
      <w:r w:rsidR="008C4732">
        <w:t xml:space="preserve"> </w:t>
      </w:r>
      <w:r w:rsidRPr="009C58B5">
        <w:t>successful enterprises can raise funds</w:t>
      </w:r>
      <w:r w:rsidR="00DB218D">
        <w:t xml:space="preserve"> .</w:t>
      </w:r>
      <w:r w:rsidRPr="009C58B5">
        <w:t>..through the sale of securities.</w:t>
      </w:r>
    </w:p>
    <w:p w14:paraId="64E77543" w14:textId="77777777" w:rsidR="009C58B5" w:rsidRPr="009C58B5" w:rsidRDefault="009C58B5" w:rsidP="009C58B5">
      <w:pPr>
        <w:pStyle w:val="BodyText"/>
      </w:pPr>
      <w:r w:rsidRPr="009C58B5">
        <w:t>1989   </w:t>
      </w:r>
      <w:r w:rsidRPr="009C58B5">
        <w:rPr>
          <w:i/>
          <w:iCs/>
        </w:rPr>
        <w:t>EuroBusiness</w:t>
      </w:r>
      <w:r w:rsidRPr="009C58B5">
        <w:t> Jan. 39/3   The British offices differ on whether convertible stocks are shares or fixed-interest securities.</w:t>
      </w:r>
    </w:p>
    <w:p w14:paraId="1E8A781A" w14:textId="3A658990" w:rsidR="009C58B5" w:rsidRDefault="009C58B5" w:rsidP="009C58B5">
      <w:pPr>
        <w:pStyle w:val="BodyText"/>
      </w:pPr>
      <w:r w:rsidRPr="009C58B5">
        <w:lastRenderedPageBreak/>
        <w:t>2009   </w:t>
      </w:r>
      <w:r w:rsidRPr="009C58B5">
        <w:rPr>
          <w:i/>
          <w:iCs/>
        </w:rPr>
        <w:t>N.Y. Rev. Bks.</w:t>
      </w:r>
      <w:r w:rsidRPr="009C58B5">
        <w:t> 12 Feb. 16/1   Even commercial banks</w:t>
      </w:r>
      <w:r w:rsidR="008324AF">
        <w:t xml:space="preserve"> </w:t>
      </w:r>
      <w:r w:rsidR="007F78CF">
        <w:t>.</w:t>
      </w:r>
      <w:r w:rsidRPr="009C58B5">
        <w:t>..borrowed aggressively to invest in the mortgage-backed securities.</w:t>
      </w:r>
    </w:p>
    <w:p w14:paraId="645B24D7" w14:textId="16572B19" w:rsidR="005938BC" w:rsidRDefault="00A45EE9" w:rsidP="009C58B5">
      <w:pPr>
        <w:pStyle w:val="BodyText"/>
      </w:pPr>
      <w:r>
        <w:t>A slightly earlier</w:t>
      </w:r>
      <w:r w:rsidR="00A07754">
        <w:t xml:space="preserve"> meaning of security</w:t>
      </w:r>
      <w:r w:rsidR="007550DD">
        <w:t xml:space="preserve"> (II</w:t>
      </w:r>
      <w:r w:rsidR="008547BC">
        <w:t xml:space="preserve">.5.d) </w:t>
      </w:r>
      <w:r w:rsidR="00A07754">
        <w:t>is a person</w:t>
      </w:r>
      <w:r w:rsidR="00A3131C">
        <w:t xml:space="preserve"> who stands surety for another</w:t>
      </w:r>
      <w:r w:rsidR="007D3E57">
        <w:t xml:space="preserve">, </w:t>
      </w:r>
      <w:r w:rsidR="00046A18">
        <w:t>L</w:t>
      </w:r>
      <w:r w:rsidR="00E21830">
        <w:t>o</w:t>
      </w:r>
      <w:r w:rsidR="00046A18">
        <w:t>rd Cave referred to this</w:t>
      </w:r>
      <w:r w:rsidR="00360ED7">
        <w:t xml:space="preserve"> in his </w:t>
      </w:r>
      <w:r w:rsidR="00360ED7" w:rsidRPr="00360ED7">
        <w:rPr>
          <w:i/>
          <w:iCs/>
        </w:rPr>
        <w:t>Singer v Williams</w:t>
      </w:r>
      <w:r w:rsidR="00360ED7">
        <w:t xml:space="preserve"> speech</w:t>
      </w:r>
      <w:r w:rsidR="00737513">
        <w:t xml:space="preserve"> as recorded above</w:t>
      </w:r>
      <w:r w:rsidR="00E21830">
        <w:t>, and here</w:t>
      </w:r>
      <w:r w:rsidR="007D3E57">
        <w:t xml:space="preserve"> some notable </w:t>
      </w:r>
      <w:r w:rsidR="00805F64">
        <w:t>authors</w:t>
      </w:r>
      <w:r w:rsidR="007D3E57">
        <w:t xml:space="preserve"> appear</w:t>
      </w:r>
      <w:r w:rsidR="0068320A">
        <w:t xml:space="preserve"> in the references</w:t>
      </w:r>
      <w:r w:rsidR="00805F64">
        <w:t>, for example</w:t>
      </w:r>
      <w:r w:rsidR="00C645B6">
        <w:t>:</w:t>
      </w:r>
    </w:p>
    <w:p w14:paraId="107C311B" w14:textId="5F9E3E27" w:rsidR="00C645B6" w:rsidRDefault="00C645B6" w:rsidP="009C58B5">
      <w:pPr>
        <w:pStyle w:val="BodyText"/>
      </w:pPr>
      <w:r w:rsidRPr="00C645B6">
        <w:t>1600   W</w:t>
      </w:r>
      <w:r w:rsidR="006F1171">
        <w:t>illiam</w:t>
      </w:r>
      <w:r w:rsidRPr="00C645B6">
        <w:t xml:space="preserve"> Shakespeare</w:t>
      </w:r>
      <w:r w:rsidR="00D93008">
        <w:t>,</w:t>
      </w:r>
      <w:r w:rsidRPr="00C645B6">
        <w:t> </w:t>
      </w:r>
      <w:r w:rsidRPr="00C645B6">
        <w:rPr>
          <w:i/>
          <w:iCs/>
        </w:rPr>
        <w:t>Henry IV, Pt. 2</w:t>
      </w:r>
      <w:r w:rsidRPr="00C645B6">
        <w:t> i. ii. 33</w:t>
      </w:r>
      <w:r w:rsidR="006B63B6">
        <w:t>:</w:t>
      </w:r>
      <w:r w:rsidRPr="00C645B6">
        <w:t>  He saide sir, you should procure him better assurance then Bardolfe, he would not take his band and yours, he liked not the securitie</w:t>
      </w:r>
      <w:r w:rsidR="0068651D">
        <w:t>.</w:t>
      </w:r>
    </w:p>
    <w:p w14:paraId="5B147001" w14:textId="6319F5F0" w:rsidR="003F7591" w:rsidRPr="003F7591" w:rsidRDefault="003F7591" w:rsidP="003F7591">
      <w:pPr>
        <w:pStyle w:val="BodyText"/>
      </w:pPr>
      <w:r w:rsidRPr="003F7591">
        <w:t>1710   J</w:t>
      </w:r>
      <w:r w:rsidR="006B63B6">
        <w:t>onathan</w:t>
      </w:r>
      <w:r w:rsidRPr="003F7591">
        <w:t xml:space="preserve"> Swift</w:t>
      </w:r>
      <w:r w:rsidR="00D93008">
        <w:t>,</w:t>
      </w:r>
      <w:r w:rsidRPr="003F7591">
        <w:t> </w:t>
      </w:r>
      <w:r w:rsidRPr="003F7591">
        <w:rPr>
          <w:i/>
          <w:iCs/>
        </w:rPr>
        <w:t>Jrnl. to Stella</w:t>
      </w:r>
      <w:r w:rsidRPr="003F7591">
        <w:t> 13 Nov. (1948) I. 95</w:t>
      </w:r>
      <w:r w:rsidR="002555FF">
        <w:t>:</w:t>
      </w:r>
      <w:r w:rsidRPr="003F7591">
        <w:t>  Have two people bound</w:t>
      </w:r>
      <w:r w:rsidR="006F1171">
        <w:t xml:space="preserve"> .</w:t>
      </w:r>
      <w:r w:rsidRPr="003F7591">
        <w:t>..</w:t>
      </w:r>
      <w:r w:rsidR="006F1171">
        <w:t xml:space="preserve"> </w:t>
      </w:r>
      <w:r w:rsidRPr="003F7591">
        <w:t>and when one dies, you fall upon the other, and make him add another security.</w:t>
      </w:r>
    </w:p>
    <w:p w14:paraId="3A19B4C6" w14:textId="7F378688" w:rsidR="003F7591" w:rsidRPr="003F7591" w:rsidRDefault="003F7591" w:rsidP="003F7591">
      <w:pPr>
        <w:pStyle w:val="BodyText"/>
      </w:pPr>
      <w:r w:rsidRPr="003F7591">
        <w:t>1786   E</w:t>
      </w:r>
      <w:r w:rsidR="006B63B6">
        <w:t>dmund</w:t>
      </w:r>
      <w:r w:rsidRPr="003F7591">
        <w:t xml:space="preserve"> Burke</w:t>
      </w:r>
      <w:r w:rsidR="00D93008">
        <w:t>,</w:t>
      </w:r>
      <w:r w:rsidRPr="003F7591">
        <w:t> </w:t>
      </w:r>
      <w:r w:rsidRPr="003F7591">
        <w:rPr>
          <w:i/>
          <w:iCs/>
        </w:rPr>
        <w:t>Articles of Charge against W. Hastings</w:t>
      </w:r>
      <w:r w:rsidRPr="003F7591">
        <w:t> vii. 175   Croftes offered the said Richard Johnson as one of his securities for the performance of the said contract.</w:t>
      </w:r>
    </w:p>
    <w:p w14:paraId="786DB145" w14:textId="141162ED" w:rsidR="003F7591" w:rsidRDefault="003F7591" w:rsidP="003F7591">
      <w:pPr>
        <w:pStyle w:val="BodyText"/>
      </w:pPr>
      <w:r w:rsidRPr="003F7591">
        <w:t>1843   C</w:t>
      </w:r>
      <w:r w:rsidR="006B63B6">
        <w:t>harles</w:t>
      </w:r>
      <w:r w:rsidR="005B4932">
        <w:t xml:space="preserve"> </w:t>
      </w:r>
      <w:r w:rsidRPr="003F7591">
        <w:t>Dickens</w:t>
      </w:r>
      <w:r w:rsidR="005B4932">
        <w:t>,</w:t>
      </w:r>
      <w:r w:rsidRPr="003F7591">
        <w:t> </w:t>
      </w:r>
      <w:r w:rsidRPr="003F7591">
        <w:rPr>
          <w:i/>
          <w:iCs/>
        </w:rPr>
        <w:t>Martin Chuzzlewit</w:t>
      </w:r>
      <w:r w:rsidRPr="003F7591">
        <w:t> (1844) xxvii. 334</w:t>
      </w:r>
      <w:r w:rsidR="002555FF">
        <w:t>:</w:t>
      </w:r>
      <w:r w:rsidRPr="003F7591">
        <w:t>  B wants a loan... B proposes self and two securities. B is accepted. Two securities give a bond.</w:t>
      </w:r>
    </w:p>
    <w:p w14:paraId="036D779C" w14:textId="5EA048FB" w:rsidR="00BD0A1C" w:rsidRDefault="00BD0A1C" w:rsidP="003F7591">
      <w:pPr>
        <w:pStyle w:val="BodyText"/>
      </w:pPr>
      <w:r>
        <w:t xml:space="preserve">The </w:t>
      </w:r>
      <w:r w:rsidR="00216779">
        <w:t xml:space="preserve">latter reference is particularly interesting, </w:t>
      </w:r>
      <w:r w:rsidR="00560AA5">
        <w:t xml:space="preserve">published as it </w:t>
      </w:r>
      <w:r w:rsidR="002E7149">
        <w:t>wa</w:t>
      </w:r>
      <w:r w:rsidR="00560AA5">
        <w:t>s in the period between the reintroduction of income tax by Peel in 1</w:t>
      </w:r>
      <w:r w:rsidR="00853E8E">
        <w:t>842</w:t>
      </w:r>
      <w:r w:rsidR="00C22737">
        <w:rPr>
          <w:rStyle w:val="FootnoteReference"/>
        </w:rPr>
        <w:footnoteReference w:id="22"/>
      </w:r>
      <w:r w:rsidR="00D948C4">
        <w:t xml:space="preserve"> and the </w:t>
      </w:r>
      <w:r w:rsidR="00A94C9F">
        <w:t>first Joint Stock Companies Act of 1844</w:t>
      </w:r>
      <w:r w:rsidR="00691511">
        <w:rPr>
          <w:rStyle w:val="FootnoteReference"/>
        </w:rPr>
        <w:footnoteReference w:id="23"/>
      </w:r>
      <w:r w:rsidR="00832124">
        <w:t xml:space="preserve"> which i</w:t>
      </w:r>
      <w:r w:rsidR="008F764B">
        <w:t>s</w:t>
      </w:r>
      <w:r w:rsidR="00832124">
        <w:t xml:space="preserve"> the progenitor of the </w:t>
      </w:r>
      <w:r w:rsidR="008F764B">
        <w:t>Companies Acts, providing for incorporation</w:t>
      </w:r>
      <w:r w:rsidR="00F517B3">
        <w:t xml:space="preserve"> of the </w:t>
      </w:r>
      <w:r w:rsidR="00686E42">
        <w:t>‘</w:t>
      </w:r>
      <w:r w:rsidR="00F517B3">
        <w:t xml:space="preserve">deed of </w:t>
      </w:r>
      <w:r w:rsidR="009D57D2">
        <w:t>settlement</w:t>
      </w:r>
      <w:r w:rsidR="00F517B3">
        <w:t xml:space="preserve"> companies</w:t>
      </w:r>
      <w:r w:rsidR="00FB19AB">
        <w:t>’</w:t>
      </w:r>
      <w:r w:rsidR="009D57D2">
        <w:t xml:space="preserve"> which </w:t>
      </w:r>
      <w:r w:rsidR="000260A3">
        <w:t>h</w:t>
      </w:r>
      <w:r w:rsidR="002901D0">
        <w:t>ad</w:t>
      </w:r>
      <w:r w:rsidR="009D57D2">
        <w:t xml:space="preserve"> hitherto </w:t>
      </w:r>
      <w:r w:rsidR="002901D0">
        <w:t xml:space="preserve">been </w:t>
      </w:r>
      <w:r w:rsidR="009D57D2">
        <w:t>used to raise funds for commercial ventures</w:t>
      </w:r>
      <w:r w:rsidR="005305C8">
        <w:t xml:space="preserve"> in the industrial revolution</w:t>
      </w:r>
      <w:r w:rsidR="002A6285">
        <w:t>,</w:t>
      </w:r>
      <w:r w:rsidR="00C0465E">
        <w:t xml:space="preserve"> upon registration of the deed.</w:t>
      </w:r>
      <w:r w:rsidR="008328EB">
        <w:t xml:space="preserve">  In the no</w:t>
      </w:r>
      <w:r w:rsidR="005E18E9">
        <w:t xml:space="preserve">vel the villain </w:t>
      </w:r>
      <w:r w:rsidR="00950BBE">
        <w:t>Montague</w:t>
      </w:r>
      <w:r w:rsidR="005E18E9">
        <w:t xml:space="preserve"> Tigg</w:t>
      </w:r>
      <w:r w:rsidR="00AA06E1">
        <w:t xml:space="preserve"> founds the </w:t>
      </w:r>
      <w:r w:rsidR="00AA06E1" w:rsidRPr="00074169">
        <w:rPr>
          <w:i/>
          <w:iCs/>
        </w:rPr>
        <w:t>Anglo-Bengalee</w:t>
      </w:r>
      <w:r w:rsidR="00A02900" w:rsidRPr="00074169">
        <w:rPr>
          <w:i/>
          <w:iCs/>
        </w:rPr>
        <w:t xml:space="preserve"> Disinterested Loan and Life Assurance Compan</w:t>
      </w:r>
      <w:r w:rsidR="00DF571E" w:rsidRPr="00074169">
        <w:rPr>
          <w:i/>
          <w:iCs/>
        </w:rPr>
        <w:t>y</w:t>
      </w:r>
      <w:r w:rsidR="00DF571E">
        <w:t>, what would now be called a Ponzi scheme in which</w:t>
      </w:r>
      <w:r w:rsidR="006D056B">
        <w:t xml:space="preserve"> early </w:t>
      </w:r>
      <w:r w:rsidR="005B1F06">
        <w:t>policyholders claims</w:t>
      </w:r>
      <w:r w:rsidR="006D056B">
        <w:t xml:space="preserve"> are paid off out of</w:t>
      </w:r>
      <w:r w:rsidR="002E389D">
        <w:t xml:space="preserve"> new policyholders’ premiums.</w:t>
      </w:r>
      <w:r w:rsidR="00602720">
        <w:t xml:space="preserve">  The </w:t>
      </w:r>
      <w:r w:rsidR="00910022">
        <w:t>satire reflected</w:t>
      </w:r>
      <w:r w:rsidR="007911D1">
        <w:t xml:space="preserve"> the fact that li</w:t>
      </w:r>
      <w:r w:rsidR="00881A1B">
        <w:t>f</w:t>
      </w:r>
      <w:r w:rsidR="007911D1">
        <w:t>e assurance companies at the time tended to reflect</w:t>
      </w:r>
      <w:r w:rsidR="005B1F06">
        <w:t xml:space="preserve"> their</w:t>
      </w:r>
      <w:r w:rsidR="00846A93">
        <w:t xml:space="preserve"> supposed</w:t>
      </w:r>
      <w:r w:rsidR="005B1F06">
        <w:t xml:space="preserve"> disinterestedness and altruistic character.</w:t>
      </w:r>
      <w:r w:rsidR="00881A1B">
        <w:t xml:space="preserve">  </w:t>
      </w:r>
      <w:r w:rsidR="00691024">
        <w:t>S</w:t>
      </w:r>
      <w:r w:rsidR="00881A1B">
        <w:t xml:space="preserve">o disinterested was the </w:t>
      </w:r>
      <w:r w:rsidR="00B46F0C" w:rsidRPr="00B46F0C">
        <w:t>Anglo-Bengalee that ‘nobody can run any risk by the transaction except the office, which, in its great liberality is pretty sure to lose</w:t>
      </w:r>
      <w:r w:rsidR="005976EE">
        <w:t>’</w:t>
      </w:r>
      <w:r w:rsidR="00691024">
        <w:t>.</w:t>
      </w:r>
      <w:r w:rsidR="009E612E">
        <w:rPr>
          <w:rStyle w:val="FootnoteReference"/>
        </w:rPr>
        <w:footnoteReference w:id="24"/>
      </w:r>
    </w:p>
    <w:p w14:paraId="7A340EC7" w14:textId="61636EE4" w:rsidR="009F3E3C" w:rsidRDefault="009F3E3C" w:rsidP="009F3E3C">
      <w:pPr>
        <w:pStyle w:val="Heading2"/>
      </w:pPr>
      <w:r>
        <w:t xml:space="preserve">Securities in the company distributions </w:t>
      </w:r>
      <w:r w:rsidR="00BE6BAD">
        <w:t xml:space="preserve">and group </w:t>
      </w:r>
      <w:r w:rsidR="005E58A3">
        <w:t xml:space="preserve">relief </w:t>
      </w:r>
      <w:r>
        <w:t>legislation</w:t>
      </w:r>
    </w:p>
    <w:p w14:paraId="7B5F8030" w14:textId="363762E9" w:rsidR="00E05318" w:rsidRDefault="00F04A86" w:rsidP="003F7591">
      <w:pPr>
        <w:pStyle w:val="BodyText"/>
      </w:pPr>
      <w:r>
        <w:t>Part 23 of CTA 2010</w:t>
      </w:r>
      <w:r w:rsidR="00DC6474">
        <w:t xml:space="preserve"> </w:t>
      </w:r>
      <w:r w:rsidR="008C6F77">
        <w:t>sets out the meaning of</w:t>
      </w:r>
      <w:r w:rsidR="00F81D60">
        <w:t xml:space="preserve"> </w:t>
      </w:r>
      <w:r w:rsidR="008F232C">
        <w:t>‘</w:t>
      </w:r>
      <w:r w:rsidR="00F81D60">
        <w:t>distribution</w:t>
      </w:r>
      <w:r w:rsidR="008F232C">
        <w:t>’</w:t>
      </w:r>
      <w:r w:rsidR="00F81D60">
        <w:t xml:space="preserve"> in th</w:t>
      </w:r>
      <w:r w:rsidR="00A94084">
        <w:t>e</w:t>
      </w:r>
      <w:r w:rsidR="00F81D60">
        <w:t xml:space="preserve"> Corporation Tax Acts</w:t>
      </w:r>
      <w:r w:rsidR="00A94084">
        <w:t xml:space="preserve"> in relation to any company</w:t>
      </w:r>
      <w:r w:rsidR="00A95CF0">
        <w:t>.</w:t>
      </w:r>
      <w:r w:rsidR="00C867BF">
        <w:rPr>
          <w:rStyle w:val="FootnoteReference"/>
        </w:rPr>
        <w:footnoteReference w:id="25"/>
      </w:r>
      <w:r w:rsidR="007D338D">
        <w:t xml:space="preserve">  </w:t>
      </w:r>
      <w:r w:rsidR="00DC3028">
        <w:t xml:space="preserve">Here the distinction between </w:t>
      </w:r>
      <w:r w:rsidR="004C64AF">
        <w:t>‘</w:t>
      </w:r>
      <w:r w:rsidR="00DC3028">
        <w:t>in respect of shares</w:t>
      </w:r>
      <w:r w:rsidR="004C64AF">
        <w:t>’</w:t>
      </w:r>
      <w:r w:rsidR="00700FBA">
        <w:t xml:space="preserve"> and </w:t>
      </w:r>
      <w:r w:rsidR="00C3540C">
        <w:t>‘</w:t>
      </w:r>
      <w:r w:rsidR="00700FBA">
        <w:t>in respect of securitie</w:t>
      </w:r>
      <w:r w:rsidR="00C3540C">
        <w:t>s’</w:t>
      </w:r>
      <w:r w:rsidR="00700FBA">
        <w:t xml:space="preserve"> is firmly drawn</w:t>
      </w:r>
      <w:r w:rsidR="00555E85">
        <w:t>; see</w:t>
      </w:r>
      <w:r w:rsidR="00E07726">
        <w:t xml:space="preserve"> sections 1113 and 1114 CTA 2010.</w:t>
      </w:r>
      <w:r w:rsidR="002B7A80">
        <w:t xml:space="preserve">  This is necessary because the aim of Part 23</w:t>
      </w:r>
      <w:r w:rsidR="00ED1B8E">
        <w:t xml:space="preserve"> is </w:t>
      </w:r>
      <w:r w:rsidR="00B8176C">
        <w:t xml:space="preserve">to </w:t>
      </w:r>
      <w:r w:rsidR="00ED1B8E">
        <w:t>address</w:t>
      </w:r>
      <w:r w:rsidR="00177384">
        <w:t xml:space="preserve"> the indistinct border between</w:t>
      </w:r>
      <w:r w:rsidR="00352B1A">
        <w:t xml:space="preserve"> debt and equity in the broad sense</w:t>
      </w:r>
      <w:r w:rsidR="00505C00">
        <w:t>, so as to bring returns from</w:t>
      </w:r>
      <w:r w:rsidR="00F12CA2">
        <w:t xml:space="preserve"> instruments with equity characteristics into the set of instruments which</w:t>
      </w:r>
      <w:r w:rsidR="00222448">
        <w:t xml:space="preserve"> give rise to </w:t>
      </w:r>
      <w:r w:rsidR="00275EC3">
        <w:t>‘</w:t>
      </w:r>
      <w:r w:rsidR="007F4B2A">
        <w:t>distributions</w:t>
      </w:r>
      <w:r w:rsidR="00275EC3">
        <w:t>’</w:t>
      </w:r>
      <w:r w:rsidR="007F4B2A">
        <w:t xml:space="preserve"> in this sense</w:t>
      </w:r>
      <w:r w:rsidR="00837C17">
        <w:t xml:space="preserve">, </w:t>
      </w:r>
      <w:r w:rsidR="00EE2B08">
        <w:t>here called a</w:t>
      </w:r>
      <w:r w:rsidR="00F60DEA">
        <w:t xml:space="preserve"> company</w:t>
      </w:r>
      <w:r w:rsidR="00370F4F">
        <w:t xml:space="preserve"> or</w:t>
      </w:r>
      <w:r w:rsidR="00EE2B08">
        <w:t xml:space="preserve"> </w:t>
      </w:r>
      <w:r w:rsidR="00275EC3">
        <w:t>‘</w:t>
      </w:r>
      <w:r w:rsidR="00EE2B08">
        <w:t>CT distribution</w:t>
      </w:r>
      <w:r w:rsidR="00920484">
        <w:t>’</w:t>
      </w:r>
      <w:r w:rsidR="00EE2B08">
        <w:t xml:space="preserve"> </w:t>
      </w:r>
      <w:r w:rsidR="00837C17">
        <w:t>and that includes returns on certa</w:t>
      </w:r>
      <w:r w:rsidR="004C355D">
        <w:t>in securities</w:t>
      </w:r>
      <w:r w:rsidR="004C0042">
        <w:t xml:space="preserve"> even though in this conte</w:t>
      </w:r>
      <w:r w:rsidR="002F070A">
        <w:t>xt</w:t>
      </w:r>
      <w:r w:rsidR="004C0042">
        <w:t xml:space="preserve"> they are not shares</w:t>
      </w:r>
      <w:r w:rsidR="00D07BA5">
        <w:t xml:space="preserve"> in companies.</w:t>
      </w:r>
    </w:p>
    <w:p w14:paraId="2B3F419F" w14:textId="174B8242" w:rsidR="00D07BA5" w:rsidRDefault="00C61A7B" w:rsidP="003F7591">
      <w:pPr>
        <w:pStyle w:val="BodyText"/>
      </w:pPr>
      <w:r>
        <w:t>Section 1000(1)</w:t>
      </w:r>
      <w:r w:rsidR="00074360">
        <w:t xml:space="preserve"> CTA 2010 sets out the scheme</w:t>
      </w:r>
      <w:r w:rsidR="00B8176C">
        <w:t xml:space="preserve"> determining what is a </w:t>
      </w:r>
      <w:r w:rsidR="006A6B60">
        <w:t>CT distribution</w:t>
      </w:r>
      <w:r w:rsidR="007F25E7">
        <w:t>.  The comprehensive detail</w:t>
      </w:r>
      <w:r w:rsidR="00EE61EF">
        <w:t xml:space="preserve"> is not </w:t>
      </w:r>
      <w:r w:rsidR="006274DD">
        <w:t>very easy to follow.</w:t>
      </w:r>
      <w:r w:rsidR="008C1A71">
        <w:t xml:space="preserve">  It is divided into paragraphs.  Paragraph A is</w:t>
      </w:r>
      <w:r w:rsidR="00212655">
        <w:t xml:space="preserve"> a</w:t>
      </w:r>
      <w:r w:rsidR="000D6DA5">
        <w:t>ny dividend paid by a company</w:t>
      </w:r>
      <w:r w:rsidR="00866597">
        <w:t xml:space="preserve">, including a capital dividend, which </w:t>
      </w:r>
      <w:r w:rsidR="00866597">
        <w:lastRenderedPageBreak/>
        <w:t>here means a dividend paid out of capital profits</w:t>
      </w:r>
      <w:r w:rsidR="007248E5">
        <w:t xml:space="preserve">, not to be confused with a </w:t>
      </w:r>
      <w:r w:rsidR="00920484">
        <w:t>‘</w:t>
      </w:r>
      <w:r w:rsidR="007248E5">
        <w:t>dividend of cap</w:t>
      </w:r>
      <w:r w:rsidR="00147239">
        <w:t>i</w:t>
      </w:r>
      <w:r w:rsidR="007248E5">
        <w:t>tal nature</w:t>
      </w:r>
      <w:r w:rsidR="00E91866">
        <w:t>’</w:t>
      </w:r>
      <w:r w:rsidR="007248E5">
        <w:t xml:space="preserve">, which appears in the </w:t>
      </w:r>
      <w:r w:rsidR="00607847">
        <w:t xml:space="preserve">income tax </w:t>
      </w:r>
      <w:r w:rsidR="007248E5">
        <w:t>charging provisio</w:t>
      </w:r>
      <w:r w:rsidR="00147239">
        <w:t xml:space="preserve">n for dividends </w:t>
      </w:r>
      <w:r w:rsidR="000E0428">
        <w:t>from overseas companies</w:t>
      </w:r>
      <w:r w:rsidR="00E37E19">
        <w:t xml:space="preserve">, section 402 of the Income Tax (Trading and </w:t>
      </w:r>
      <w:r w:rsidR="00607847">
        <w:t>Other Income) Act 2005</w:t>
      </w:r>
      <w:r w:rsidR="00F86675">
        <w:t xml:space="preserve"> (ITTOIA 2005)</w:t>
      </w:r>
      <w:r w:rsidR="00F11E07">
        <w:t>.  Paragraph B</w:t>
      </w:r>
      <w:r w:rsidR="008B4BDD">
        <w:t xml:space="preserve"> </w:t>
      </w:r>
      <w:r w:rsidR="000B256A">
        <w:t>d</w:t>
      </w:r>
      <w:r w:rsidR="008B4BDD">
        <w:t>eals with any other distribution out of assets of the company</w:t>
      </w:r>
      <w:r w:rsidR="000B256A">
        <w:t xml:space="preserve"> in respect of shares, with </w:t>
      </w:r>
      <w:r w:rsidR="00DF58A8">
        <w:t>abatements</w:t>
      </w:r>
      <w:r w:rsidR="000B256A">
        <w:t xml:space="preserve"> for</w:t>
      </w:r>
      <w:r w:rsidR="0053147F">
        <w:t xml:space="preserve"> capital repaid on the shares and</w:t>
      </w:r>
      <w:r w:rsidR="00B07D92">
        <w:t xml:space="preserve"> any consideration received from the company for the distribution</w:t>
      </w:r>
      <w:r w:rsidR="009B6C7F">
        <w:t xml:space="preserve">.  </w:t>
      </w:r>
      <w:r w:rsidR="00675DBE">
        <w:t xml:space="preserve">Paragraph </w:t>
      </w:r>
      <w:r w:rsidR="00CF5928">
        <w:t xml:space="preserve">B has a </w:t>
      </w:r>
      <w:r w:rsidR="000C4BFE">
        <w:t xml:space="preserve">potentially </w:t>
      </w:r>
      <w:r w:rsidR="00CF5928">
        <w:t>wide scope but is largely aimed at repurchases of shares</w:t>
      </w:r>
      <w:r w:rsidR="000C4BFE">
        <w:t xml:space="preserve">.  </w:t>
      </w:r>
      <w:r w:rsidR="009B6C7F">
        <w:t>Paragraphs C and D deal with bonus issues of redeemable shares and bonus is</w:t>
      </w:r>
      <w:r w:rsidR="00416257">
        <w:t>s</w:t>
      </w:r>
      <w:r w:rsidR="009B6C7F">
        <w:t>ues of securities</w:t>
      </w:r>
      <w:r w:rsidR="001443DF">
        <w:t>.</w:t>
      </w:r>
      <w:r w:rsidR="00F35F2E">
        <w:rPr>
          <w:rStyle w:val="FootnoteReference"/>
        </w:rPr>
        <w:footnoteReference w:id="26"/>
      </w:r>
      <w:r w:rsidR="00970FD0">
        <w:t xml:space="preserve">  Paragraphs E</w:t>
      </w:r>
      <w:r w:rsidR="0069713C">
        <w:t xml:space="preserve"> and F</w:t>
      </w:r>
      <w:r w:rsidR="003A7898">
        <w:t xml:space="preserve"> </w:t>
      </w:r>
      <w:r w:rsidR="00B31C67">
        <w:t>d</w:t>
      </w:r>
      <w:r w:rsidR="003A7898">
        <w:t xml:space="preserve">eal with returns by way of interest on securities but where these returns </w:t>
      </w:r>
      <w:r w:rsidR="00692872">
        <w:t>share characteristics with equity returns</w:t>
      </w:r>
      <w:r w:rsidR="00732078">
        <w:t>:  paragraph E</w:t>
      </w:r>
      <w:r w:rsidR="00B31C67">
        <w:t xml:space="preserve"> with</w:t>
      </w:r>
      <w:r w:rsidR="002978A1">
        <w:t xml:space="preserve"> </w:t>
      </w:r>
      <w:r w:rsidR="00EB0DEE">
        <w:t>‘</w:t>
      </w:r>
      <w:r w:rsidR="002978A1">
        <w:t>non-commercial</w:t>
      </w:r>
      <w:r w:rsidR="00933D17">
        <w:t xml:space="preserve"> securities</w:t>
      </w:r>
      <w:r w:rsidR="00EB0DEE">
        <w:t>’</w:t>
      </w:r>
      <w:r w:rsidR="00933D17">
        <w:t xml:space="preserve"> whose returns represent more than a reasonable commercial return for the use of the principal secured</w:t>
      </w:r>
      <w:r w:rsidR="006443B7">
        <w:rPr>
          <w:rStyle w:val="FootnoteReference"/>
        </w:rPr>
        <w:footnoteReference w:id="27"/>
      </w:r>
      <w:r w:rsidR="003670A1">
        <w:t xml:space="preserve"> and paragraph </w:t>
      </w:r>
      <w:r w:rsidR="00AD4852">
        <w:t>F</w:t>
      </w:r>
      <w:r w:rsidR="003670A1">
        <w:t xml:space="preserve"> with </w:t>
      </w:r>
      <w:r w:rsidR="008532E5">
        <w:t xml:space="preserve">returns on </w:t>
      </w:r>
      <w:r w:rsidR="00B32467">
        <w:t>‘</w:t>
      </w:r>
      <w:r w:rsidR="008532E5">
        <w:t>special securities</w:t>
      </w:r>
      <w:r w:rsidR="0083620A">
        <w:t>’</w:t>
      </w:r>
      <w:r w:rsidR="00CF7AC5">
        <w:t>.</w:t>
      </w:r>
      <w:r w:rsidR="001556BF">
        <w:rPr>
          <w:rStyle w:val="FootnoteReference"/>
        </w:rPr>
        <w:footnoteReference w:id="28"/>
      </w:r>
      <w:r w:rsidR="00AD4852">
        <w:t xml:space="preserve">  Paragraph</w:t>
      </w:r>
      <w:r w:rsidR="0021196B">
        <w:t xml:space="preserve"> G deals with</w:t>
      </w:r>
      <w:r w:rsidR="00131A84">
        <w:t xml:space="preserve"> transfers of assets and liabilities bet</w:t>
      </w:r>
      <w:r w:rsidR="00FF76D3">
        <w:t>ween a company an</w:t>
      </w:r>
      <w:r w:rsidR="00E775E3">
        <w:t>d</w:t>
      </w:r>
      <w:r w:rsidR="00FF76D3">
        <w:t xml:space="preserve"> its members</w:t>
      </w:r>
      <w:r w:rsidR="000E091C">
        <w:t>.</w:t>
      </w:r>
      <w:r w:rsidR="00392707">
        <w:rPr>
          <w:rStyle w:val="FootnoteReference"/>
        </w:rPr>
        <w:footnoteReference w:id="29"/>
      </w:r>
      <w:r w:rsidR="00E87072">
        <w:t xml:space="preserve">  </w:t>
      </w:r>
      <w:r w:rsidR="008739C7">
        <w:t xml:space="preserve">There is a market value rule for the benefit </w:t>
      </w:r>
      <w:r w:rsidR="00AC7C61">
        <w:t>received by a member</w:t>
      </w:r>
      <w:r w:rsidR="00902C29">
        <w:t>.</w:t>
      </w:r>
      <w:r w:rsidR="00902C29">
        <w:rPr>
          <w:rStyle w:val="FootnoteReference"/>
        </w:rPr>
        <w:footnoteReference w:id="30"/>
      </w:r>
      <w:r w:rsidR="00902C29">
        <w:t xml:space="preserve">  </w:t>
      </w:r>
      <w:r w:rsidR="00E87072">
        <w:t>Paragraph H deals with a bonus issue of shares following</w:t>
      </w:r>
      <w:r w:rsidR="000E091C">
        <w:t xml:space="preserve"> a</w:t>
      </w:r>
      <w:r w:rsidR="00E87072">
        <w:t xml:space="preserve"> repayment of capital</w:t>
      </w:r>
      <w:r w:rsidR="003F3773">
        <w:t>.</w:t>
      </w:r>
      <w:r w:rsidR="008E1263">
        <w:t xml:space="preserve">  The scheme thus aims to catch all extractions of value by members from </w:t>
      </w:r>
      <w:r w:rsidR="004258A5">
        <w:t>their companies</w:t>
      </w:r>
      <w:r w:rsidR="004E4F44">
        <w:t xml:space="preserve">, </w:t>
      </w:r>
      <w:r w:rsidR="00061597">
        <w:t>i</w:t>
      </w:r>
      <w:r w:rsidR="00125960">
        <w:t>n</w:t>
      </w:r>
      <w:r w:rsidR="00061597">
        <w:t xml:space="preserve"> so</w:t>
      </w:r>
      <w:r w:rsidR="00125960">
        <w:t>m</w:t>
      </w:r>
      <w:r w:rsidR="00061597">
        <w:t>e circumstances</w:t>
      </w:r>
      <w:r w:rsidR="00125960">
        <w:t xml:space="preserve"> </w:t>
      </w:r>
      <w:r w:rsidR="004E4F44">
        <w:t xml:space="preserve">even if in respect of securities </w:t>
      </w:r>
      <w:r w:rsidR="00122F5B">
        <w:t xml:space="preserve">(as described) </w:t>
      </w:r>
      <w:r w:rsidR="004E4F44">
        <w:t>rather than shares</w:t>
      </w:r>
      <w:r w:rsidR="00FB559A">
        <w:t>.  It is not easy to apply</w:t>
      </w:r>
      <w:r w:rsidR="00FA5317">
        <w:t xml:space="preserve">, even so fundamental concept as what is a dividend is not </w:t>
      </w:r>
      <w:r w:rsidR="00FE31BB">
        <w:t xml:space="preserve">at all </w:t>
      </w:r>
      <w:r w:rsidR="00FA5317">
        <w:t>straightforward</w:t>
      </w:r>
      <w:r w:rsidR="000E59E5">
        <w:t>.</w:t>
      </w:r>
      <w:r w:rsidR="000E59E5">
        <w:rPr>
          <w:rStyle w:val="FootnoteReference"/>
        </w:rPr>
        <w:footnoteReference w:id="31"/>
      </w:r>
    </w:p>
    <w:p w14:paraId="157E821C" w14:textId="77777777" w:rsidR="00BC5B8B" w:rsidRDefault="00656964" w:rsidP="00575228">
      <w:pPr>
        <w:pStyle w:val="BodyText"/>
      </w:pPr>
      <w:r>
        <w:t xml:space="preserve">In effect the legislation </w:t>
      </w:r>
      <w:r w:rsidR="00FC06FB">
        <w:t>recognises that a firm distinction between debt securities and equity shares</w:t>
      </w:r>
      <w:r w:rsidR="00A5618B">
        <w:t xml:space="preserve"> does no</w:t>
      </w:r>
      <w:r w:rsidR="00215438">
        <w:t>t</w:t>
      </w:r>
      <w:r w:rsidR="00A5618B">
        <w:t xml:space="preserve"> exist an</w:t>
      </w:r>
      <w:r w:rsidR="00215438">
        <w:t>d</w:t>
      </w:r>
      <w:r w:rsidR="00A5618B">
        <w:t xml:space="preserve"> proceeds to address the issue</w:t>
      </w:r>
      <w:r w:rsidR="00A0630C">
        <w:t xml:space="preserve"> by reference to the real character of the returns.</w:t>
      </w:r>
    </w:p>
    <w:p w14:paraId="66813F68" w14:textId="18910B88" w:rsidR="00440378" w:rsidRDefault="003208D2" w:rsidP="00575228">
      <w:pPr>
        <w:pStyle w:val="BodyText"/>
      </w:pPr>
      <w:r>
        <w:t>A similar issue arises</w:t>
      </w:r>
      <w:r w:rsidR="00246628">
        <w:t xml:space="preserve"> </w:t>
      </w:r>
      <w:r w:rsidR="00F25A8E">
        <w:t xml:space="preserve">in the group relief provisions, which aim to ensure </w:t>
      </w:r>
      <w:r w:rsidR="003D32B2">
        <w:t>only genuine equity ownership</w:t>
      </w:r>
      <w:r w:rsidR="00B50D1E">
        <w:t xml:space="preserve"> relationships </w:t>
      </w:r>
      <w:r w:rsidR="004805DC">
        <w:t>establish groups and consortia.</w:t>
      </w:r>
      <w:r w:rsidR="00974EE9">
        <w:t xml:space="preserve">  Here the </w:t>
      </w:r>
      <w:r w:rsidR="00095B09">
        <w:t xml:space="preserve">rather different </w:t>
      </w:r>
      <w:r w:rsidR="00974EE9">
        <w:t xml:space="preserve">approach is to define the concept of </w:t>
      </w:r>
      <w:r w:rsidR="0083620A">
        <w:t>‘</w:t>
      </w:r>
      <w:r w:rsidR="000F102B">
        <w:t>equity</w:t>
      </w:r>
      <w:r w:rsidR="00974EE9">
        <w:t xml:space="preserve"> holder</w:t>
      </w:r>
      <w:r w:rsidR="0083620A">
        <w:t>’</w:t>
      </w:r>
      <w:r w:rsidR="000F102B">
        <w:t xml:space="preserve"> as any person who</w:t>
      </w:r>
      <w:r w:rsidR="00440378">
        <w:t xml:space="preserve"> </w:t>
      </w:r>
      <w:r w:rsidR="00440378" w:rsidRPr="00440378">
        <w:t xml:space="preserve">holds ordinary shares in the </w:t>
      </w:r>
      <w:r w:rsidR="00A37203" w:rsidRPr="00440378">
        <w:t>company or</w:t>
      </w:r>
      <w:r w:rsidR="0055736D">
        <w:t xml:space="preserve"> </w:t>
      </w:r>
      <w:r w:rsidR="00440378" w:rsidRPr="00440378">
        <w:t xml:space="preserve">is a loan creditor of the company in respect of a loan that is not a </w:t>
      </w:r>
      <w:r w:rsidR="00A84F59">
        <w:t>‘</w:t>
      </w:r>
      <w:r w:rsidR="00440378" w:rsidRPr="00440378">
        <w:t>normal commercial loan</w:t>
      </w:r>
      <w:r w:rsidR="00A84F59">
        <w:t>’</w:t>
      </w:r>
      <w:r w:rsidR="00A37203">
        <w:t xml:space="preserve">.  </w:t>
      </w:r>
      <w:r w:rsidR="00440378" w:rsidRPr="00440378">
        <w:t xml:space="preserve">For this purpose, ordinary shares are all shares other than </w:t>
      </w:r>
      <w:r w:rsidR="0034168A">
        <w:t>‘</w:t>
      </w:r>
      <w:r w:rsidR="00440378" w:rsidRPr="00440378">
        <w:t>restricted preference shares</w:t>
      </w:r>
      <w:r w:rsidR="0034168A">
        <w:t>’</w:t>
      </w:r>
      <w:r w:rsidR="00440378" w:rsidRPr="00440378">
        <w:t>.</w:t>
      </w:r>
    </w:p>
    <w:p w14:paraId="7422B6E1" w14:textId="0F791531" w:rsidR="00A4222B" w:rsidRPr="00A4222B" w:rsidRDefault="008E4C30" w:rsidP="00A4222B">
      <w:pPr>
        <w:pStyle w:val="BodyText"/>
      </w:pPr>
      <w:r>
        <w:t xml:space="preserve">A </w:t>
      </w:r>
      <w:r w:rsidR="002B7A36">
        <w:t>‘</w:t>
      </w:r>
      <w:r w:rsidR="00A4222B" w:rsidRPr="00A4222B">
        <w:t>normal commercial loan</w:t>
      </w:r>
      <w:r w:rsidR="002B7A36">
        <w:t>’</w:t>
      </w:r>
      <w:r w:rsidR="00A4222B" w:rsidRPr="00A4222B">
        <w:t xml:space="preserve"> means a loan that satisfies all the following conditions.</w:t>
      </w:r>
    </w:p>
    <w:p w14:paraId="03EC908F" w14:textId="59F04721" w:rsidR="00A4222B" w:rsidRPr="00A4222B" w:rsidRDefault="004213BE" w:rsidP="000A5FC0">
      <w:pPr>
        <w:pStyle w:val="BodyText"/>
      </w:pPr>
      <w:r>
        <w:t>First, it</w:t>
      </w:r>
      <w:r w:rsidR="00A4222B" w:rsidRPr="00A4222B">
        <w:t xml:space="preserve"> is a loan of, or including, new consideration</w:t>
      </w:r>
      <w:r w:rsidR="000E6510">
        <w:t xml:space="preserve"> (so a bonus security cannot be a normal commercial loan</w:t>
      </w:r>
      <w:r w:rsidR="00313092">
        <w:t>)</w:t>
      </w:r>
      <w:r w:rsidR="000E6510">
        <w:t>.</w:t>
      </w:r>
      <w:r w:rsidR="001E2F24">
        <w:t xml:space="preserve">  It </w:t>
      </w:r>
      <w:r w:rsidR="003D718F">
        <w:t>may not be convertible or carry</w:t>
      </w:r>
      <w:r w:rsidR="00F85932">
        <w:t xml:space="preserve"> any right</w:t>
      </w:r>
      <w:r w:rsidR="009205BD">
        <w:t>s</w:t>
      </w:r>
      <w:r w:rsidR="00F85932">
        <w:t xml:space="preserve"> to acquire</w:t>
      </w:r>
      <w:r w:rsidR="00A4222B" w:rsidRPr="00A4222B">
        <w:t xml:space="preserve"> additional shares or securities.</w:t>
      </w:r>
    </w:p>
    <w:p w14:paraId="1FE3A2E1" w14:textId="7672341E" w:rsidR="00A4222B" w:rsidRPr="00A4222B" w:rsidRDefault="006C6FB8" w:rsidP="00F44134">
      <w:pPr>
        <w:pStyle w:val="BodyText"/>
      </w:pPr>
      <w:r>
        <w:lastRenderedPageBreak/>
        <w:t>Secondly, it</w:t>
      </w:r>
      <w:r w:rsidR="005E15DA">
        <w:t xml:space="preserve"> </w:t>
      </w:r>
      <w:r w:rsidR="00A4222B" w:rsidRPr="00A4222B">
        <w:t>does not entitle the loan creditor to any amount by way of interest which depends to any extent on</w:t>
      </w:r>
      <w:r w:rsidR="00F44134">
        <w:t xml:space="preserve"> </w:t>
      </w:r>
      <w:r w:rsidR="00A4222B" w:rsidRPr="00A4222B">
        <w:t>the results of the company’s business or any part of it, or</w:t>
      </w:r>
      <w:r w:rsidR="00F44134">
        <w:t xml:space="preserve"> </w:t>
      </w:r>
      <w:r w:rsidR="00A4222B" w:rsidRPr="00A4222B">
        <w:t>the value of any of the company’s assets, or</w:t>
      </w:r>
      <w:r w:rsidR="00C83930">
        <w:t xml:space="preserve"> </w:t>
      </w:r>
      <w:r w:rsidR="00A4222B" w:rsidRPr="00A4222B">
        <w:t>which exceeds a reasonable commercial return on the new consideration lent.</w:t>
      </w:r>
    </w:p>
    <w:p w14:paraId="4BD64A79" w14:textId="6D75D561" w:rsidR="00A4222B" w:rsidRPr="00A4222B" w:rsidRDefault="002D6BED" w:rsidP="00847796">
      <w:pPr>
        <w:pStyle w:val="BodyText"/>
      </w:pPr>
      <w:r>
        <w:t>Thirdly</w:t>
      </w:r>
      <w:r w:rsidR="005E15DA">
        <w:t xml:space="preserve">, </w:t>
      </w:r>
      <w:r w:rsidR="004213BE">
        <w:t>the</w:t>
      </w:r>
      <w:r w:rsidR="00A4222B" w:rsidRPr="00A4222B">
        <w:t xml:space="preserve"> loan creditor is entitled on repayment to an amount which either</w:t>
      </w:r>
      <w:r w:rsidR="000864C0">
        <w:t xml:space="preserve"> </w:t>
      </w:r>
      <w:r w:rsidR="00A4222B" w:rsidRPr="00A4222B">
        <w:t>does not exceed the new consideration lent, or</w:t>
      </w:r>
      <w:r w:rsidR="00847796">
        <w:t xml:space="preserve"> </w:t>
      </w:r>
      <w:r w:rsidR="00A4222B" w:rsidRPr="00A4222B">
        <w:t>is reasonably comparable to the amount generally repayable, in respect of an equal amount of new consideration, under the terms of issue of securities listed on a recognised stock exchange.</w:t>
      </w:r>
    </w:p>
    <w:p w14:paraId="18061C28" w14:textId="77777777" w:rsidR="002A6285" w:rsidRDefault="002B7A36" w:rsidP="00EC2EA0">
      <w:pPr>
        <w:pStyle w:val="BodyText"/>
      </w:pPr>
      <w:r>
        <w:t>‘</w:t>
      </w:r>
      <w:r w:rsidR="00374110">
        <w:t>Restricted preference shares</w:t>
      </w:r>
      <w:r w:rsidR="00031567">
        <w:t>’</w:t>
      </w:r>
      <w:r w:rsidR="00CC25F3">
        <w:t xml:space="preserve"> are </w:t>
      </w:r>
      <w:r w:rsidR="00EF7F9C" w:rsidRPr="00EF7F9C">
        <w:t>shares which</w:t>
      </w:r>
      <w:r w:rsidR="00EC2EA0">
        <w:t xml:space="preserve"> </w:t>
      </w:r>
      <w:r w:rsidR="00EF7F9C" w:rsidRPr="00EF7F9C">
        <w:t>are issued for consideration which is, or includes, new consideration</w:t>
      </w:r>
      <w:r w:rsidR="000864C0">
        <w:t>, are not convertible</w:t>
      </w:r>
      <w:r w:rsidR="00101218">
        <w:t xml:space="preserve"> or carry any rights to acquire further shares</w:t>
      </w:r>
      <w:r w:rsidR="00DD0379">
        <w:t xml:space="preserve">, </w:t>
      </w:r>
      <w:r w:rsidR="00EF7F9C" w:rsidRPr="00EF7F9C">
        <w:t>and</w:t>
      </w:r>
      <w:r w:rsidR="00DD0379">
        <w:t xml:space="preserve"> </w:t>
      </w:r>
      <w:r w:rsidR="00EF7F9C" w:rsidRPr="00EF7F9C">
        <w:t>do not carry any rights to dividends other than dividends which</w:t>
      </w:r>
      <w:r w:rsidR="00C87A2C">
        <w:t xml:space="preserve"> </w:t>
      </w:r>
      <w:r w:rsidR="00EF7F9C" w:rsidRPr="00EF7F9C">
        <w:t>are of a fixed amount, or at a fixed rate per cent of the nominal value of the shares</w:t>
      </w:r>
      <w:r w:rsidR="002C6E6A">
        <w:t>.</w:t>
      </w:r>
    </w:p>
    <w:p w14:paraId="0DDC7C7C" w14:textId="77777777" w:rsidR="002A6285" w:rsidRDefault="002C6E6A" w:rsidP="00EC2EA0">
      <w:pPr>
        <w:pStyle w:val="BodyText"/>
      </w:pPr>
      <w:r>
        <w:t>The dividends must</w:t>
      </w:r>
      <w:r w:rsidR="00C87A2C">
        <w:t xml:space="preserve"> </w:t>
      </w:r>
      <w:r w:rsidR="00EF7F9C" w:rsidRPr="00EF7F9C">
        <w:t>represent no more than a reasonable commercial return on the new consideration received by the company in respect of the shares,</w:t>
      </w:r>
      <w:r w:rsidR="00747EE7">
        <w:t xml:space="preserve"> </w:t>
      </w:r>
      <w:r w:rsidR="00EF7F9C" w:rsidRPr="00EF7F9C">
        <w:t>and</w:t>
      </w:r>
      <w:r w:rsidR="00747EE7">
        <w:t xml:space="preserve"> </w:t>
      </w:r>
      <w:r w:rsidR="00EF7F9C" w:rsidRPr="00EF7F9C">
        <w:t xml:space="preserve">on repayment </w:t>
      </w:r>
      <w:r>
        <w:t xml:space="preserve">the shares must </w:t>
      </w:r>
      <w:r w:rsidR="00EF7F9C" w:rsidRPr="00EF7F9C">
        <w:t>not carry any rights to an amount exceeding that new consideration, except in so far as those rights are reasonably comparable with those general for fixed dividend shares listed on a</w:t>
      </w:r>
      <w:r w:rsidR="00022D24">
        <w:t xml:space="preserve"> </w:t>
      </w:r>
      <w:r w:rsidR="00EF7F9C" w:rsidRPr="00EF7F9C">
        <w:t>recognised stock exchange.</w:t>
      </w:r>
    </w:p>
    <w:p w14:paraId="46D1D8D2" w14:textId="6CB8F002" w:rsidR="00EF7F9C" w:rsidRDefault="00EF7F9C" w:rsidP="00EC2EA0">
      <w:pPr>
        <w:pStyle w:val="BodyText"/>
      </w:pPr>
      <w:r w:rsidRPr="00EF7F9C">
        <w:t>Shares that carry no rights to a dividend may be restricted preference shares for the purposes of th</w:t>
      </w:r>
      <w:r w:rsidR="007D5B4C">
        <w:t>is</w:t>
      </w:r>
      <w:r w:rsidRPr="00EF7F9C">
        <w:t xml:space="preserve"> definition</w:t>
      </w:r>
      <w:r w:rsidR="007D5B4C">
        <w:rPr>
          <w:rStyle w:val="FootnoteReference"/>
        </w:rPr>
        <w:footnoteReference w:id="32"/>
      </w:r>
      <w:r w:rsidR="00A67CF3">
        <w:t xml:space="preserve"> but</w:t>
      </w:r>
      <w:r w:rsidRPr="00EF7F9C">
        <w:t xml:space="preserve"> are, however, ordinary share capital for the purposes of </w:t>
      </w:r>
      <w:r w:rsidR="003E672D">
        <w:t xml:space="preserve">the general </w:t>
      </w:r>
      <w:r w:rsidR="00E2324C">
        <w:t>definition</w:t>
      </w:r>
      <w:r w:rsidR="004178F0">
        <w:t>.</w:t>
      </w:r>
      <w:r w:rsidR="00E2324C">
        <w:rPr>
          <w:rStyle w:val="FootnoteReference"/>
        </w:rPr>
        <w:footnoteReference w:id="33"/>
      </w:r>
    </w:p>
    <w:p w14:paraId="1AB3F371" w14:textId="44E66FD1" w:rsidR="00743F26" w:rsidRDefault="00743F26" w:rsidP="00743F26">
      <w:pPr>
        <w:pStyle w:val="Heading2"/>
      </w:pPr>
      <w:r>
        <w:t>Securities in company</w:t>
      </w:r>
      <w:r w:rsidR="00257C09">
        <w:t>, regulatory and commercial l</w:t>
      </w:r>
      <w:r w:rsidR="00045766">
        <w:t>a</w:t>
      </w:r>
      <w:r w:rsidR="00257C09">
        <w:t>w</w:t>
      </w:r>
    </w:p>
    <w:p w14:paraId="575C8E0D" w14:textId="641F47B7" w:rsidR="00BF40B6" w:rsidRPr="00BF40B6" w:rsidRDefault="009E7987" w:rsidP="009E7987">
      <w:pPr>
        <w:pStyle w:val="Heading3"/>
      </w:pPr>
      <w:r>
        <w:t xml:space="preserve">Company </w:t>
      </w:r>
      <w:r w:rsidR="001E66BD">
        <w:t>law</w:t>
      </w:r>
    </w:p>
    <w:p w14:paraId="105F2577" w14:textId="63D0D20E" w:rsidR="00400CBC" w:rsidRDefault="00400CBC" w:rsidP="00400CBC">
      <w:pPr>
        <w:pStyle w:val="BodyText"/>
      </w:pPr>
      <w:r>
        <w:t xml:space="preserve">In </w:t>
      </w:r>
      <w:r w:rsidR="00E77889">
        <w:t>U</w:t>
      </w:r>
      <w:r w:rsidR="009D43F8">
        <w:t>nited Kingdom</w:t>
      </w:r>
      <w:r w:rsidR="00E77889">
        <w:t xml:space="preserve"> company law, for the purpose of</w:t>
      </w:r>
      <w:r w:rsidR="002809D7">
        <w:t xml:space="preserve"> the prohibition of public offers by private companies</w:t>
      </w:r>
      <w:r w:rsidR="00E43786">
        <w:t>, section 755(5) Companies Act 2006</w:t>
      </w:r>
      <w:r w:rsidR="00765176">
        <w:t xml:space="preserve"> (CA 2006)</w:t>
      </w:r>
      <w:r w:rsidR="00E43786">
        <w:t xml:space="preserve"> defines</w:t>
      </w:r>
      <w:r w:rsidR="00913BB4">
        <w:t xml:space="preserve"> </w:t>
      </w:r>
      <w:r w:rsidR="00FA4F88">
        <w:t>‘</w:t>
      </w:r>
      <w:r w:rsidR="00913BB4">
        <w:t>securities</w:t>
      </w:r>
      <w:r w:rsidR="00FA4F88">
        <w:t>’</w:t>
      </w:r>
      <w:r w:rsidR="00913BB4">
        <w:t xml:space="preserve"> as meaning shares or debentures</w:t>
      </w:r>
      <w:r w:rsidR="000B59F4">
        <w:t>.</w:t>
      </w:r>
      <w:r w:rsidR="000D2C3E">
        <w:rPr>
          <w:rStyle w:val="FootnoteReference"/>
        </w:rPr>
        <w:footnoteReference w:id="34"/>
      </w:r>
      <w:r w:rsidR="0007605D">
        <w:t xml:space="preserve">  </w:t>
      </w:r>
      <w:r w:rsidR="00BF03F2">
        <w:t>S</w:t>
      </w:r>
      <w:r w:rsidR="0001051E">
        <w:t xml:space="preserve">hares </w:t>
      </w:r>
      <w:r w:rsidR="009E0756">
        <w:t xml:space="preserve">in relation to a company </w:t>
      </w:r>
      <w:r w:rsidR="0001051E">
        <w:t>are defined as meaning a share</w:t>
      </w:r>
      <w:r w:rsidR="009E0756">
        <w:t xml:space="preserve"> in the company’s share capital</w:t>
      </w:r>
      <w:r w:rsidR="006D165D">
        <w:t>.</w:t>
      </w:r>
      <w:r w:rsidR="00447F8E">
        <w:rPr>
          <w:rStyle w:val="FootnoteReference"/>
        </w:rPr>
        <w:footnoteReference w:id="35"/>
      </w:r>
      <w:r w:rsidR="006D165D">
        <w:t xml:space="preserve"> </w:t>
      </w:r>
      <w:r w:rsidR="0007605D">
        <w:t>For the purpose of evidencing</w:t>
      </w:r>
      <w:r w:rsidR="00AC6974">
        <w:t xml:space="preserve"> and transferring title to</w:t>
      </w:r>
      <w:r w:rsidR="00B36DDF">
        <w:t xml:space="preserve"> securities without written instrument</w:t>
      </w:r>
      <w:r w:rsidR="00663890">
        <w:t xml:space="preserve"> section 783 CA 2006</w:t>
      </w:r>
      <w:r w:rsidR="001E4696">
        <w:t xml:space="preserve"> defines securities as meaning shares, </w:t>
      </w:r>
      <w:r w:rsidR="00822F4D">
        <w:t>debenture stock, loan stock, b</w:t>
      </w:r>
      <w:r w:rsidR="00F4373C">
        <w:t>onds, units o</w:t>
      </w:r>
      <w:r w:rsidR="00A134E9">
        <w:t>f</w:t>
      </w:r>
      <w:r w:rsidR="00F4373C">
        <w:t xml:space="preserve"> a collective investment sc</w:t>
      </w:r>
      <w:r w:rsidR="008C7220">
        <w:t xml:space="preserve">heme under </w:t>
      </w:r>
      <w:r w:rsidR="00520A1F">
        <w:t>FSMA 2000 and other securities of any description</w:t>
      </w:r>
      <w:r w:rsidR="00A134E9">
        <w:t>.</w:t>
      </w:r>
    </w:p>
    <w:p w14:paraId="335D7454" w14:textId="5115EF14" w:rsidR="00546217" w:rsidRDefault="002C6E6A" w:rsidP="00400CBC">
      <w:pPr>
        <w:pStyle w:val="BodyText"/>
      </w:pPr>
      <w:r>
        <w:t>The Companies Acts</w:t>
      </w:r>
      <w:r w:rsidR="00E64F24">
        <w:t xml:space="preserve"> define </w:t>
      </w:r>
      <w:r w:rsidR="006944CE">
        <w:t>‘</w:t>
      </w:r>
      <w:r w:rsidR="00E64F24">
        <w:t>equity securities’</w:t>
      </w:r>
      <w:r w:rsidR="00617159">
        <w:t xml:space="preserve"> for the purpose of pre-emption rights</w:t>
      </w:r>
      <w:r w:rsidR="00BC67B9">
        <w:t xml:space="preserve"> in relation to a company</w:t>
      </w:r>
      <w:r w:rsidR="00617159">
        <w:t xml:space="preserve"> as</w:t>
      </w:r>
      <w:r w:rsidR="007A6138">
        <w:t xml:space="preserve"> ordinary shares in the company</w:t>
      </w:r>
      <w:r w:rsidR="00BC67B9">
        <w:t xml:space="preserve"> or rights to subscribe for, or conver</w:t>
      </w:r>
      <w:r w:rsidR="00456852">
        <w:t>t</w:t>
      </w:r>
      <w:r w:rsidR="00BC67B9">
        <w:t xml:space="preserve"> securities into,</w:t>
      </w:r>
      <w:r w:rsidR="009C78BC">
        <w:t xml:space="preserve"> ordinary shares</w:t>
      </w:r>
      <w:r w:rsidR="0087429D">
        <w:t>.</w:t>
      </w:r>
      <w:r w:rsidR="009C78BC">
        <w:t xml:space="preserve">  Ordinary share</w:t>
      </w:r>
      <w:r w:rsidR="00CC6F4E">
        <w:t xml:space="preserve">s </w:t>
      </w:r>
      <w:r w:rsidR="00456852">
        <w:t xml:space="preserve">are shares </w:t>
      </w:r>
      <w:r w:rsidR="00CC6F4E">
        <w:t>other than tho</w:t>
      </w:r>
      <w:r w:rsidR="000F00AF">
        <w:t>se that as respects capital and dividends</w:t>
      </w:r>
      <w:r w:rsidR="008A314F">
        <w:t xml:space="preserve"> carry a right to participate</w:t>
      </w:r>
      <w:r w:rsidR="00501686">
        <w:t xml:space="preserve"> only up to a specified amount in a distribution</w:t>
      </w:r>
      <w:r w:rsidR="008B1D1E">
        <w:t>.</w:t>
      </w:r>
      <w:r w:rsidR="008B1D1E">
        <w:rPr>
          <w:rStyle w:val="FootnoteReference"/>
        </w:rPr>
        <w:footnoteReference w:id="36"/>
      </w:r>
    </w:p>
    <w:p w14:paraId="5F368BCD" w14:textId="28CE253F" w:rsidR="00B34873" w:rsidRDefault="00B34873" w:rsidP="00B34873">
      <w:pPr>
        <w:pStyle w:val="Heading3"/>
      </w:pPr>
      <w:r>
        <w:lastRenderedPageBreak/>
        <w:t>Regulatory law</w:t>
      </w:r>
    </w:p>
    <w:p w14:paraId="2765CB20" w14:textId="529B6891" w:rsidR="00FF0F0B" w:rsidRDefault="000B59F4" w:rsidP="00400CBC">
      <w:pPr>
        <w:pStyle w:val="BodyText"/>
      </w:pPr>
      <w:r>
        <w:t>The Handbook</w:t>
      </w:r>
      <w:r w:rsidR="00432610">
        <w:t xml:space="preserve"> of the Financial Conduct Authority (FCA)</w:t>
      </w:r>
      <w:r w:rsidR="00DE2E2A">
        <w:t xml:space="preserve"> defines </w:t>
      </w:r>
      <w:r w:rsidR="00E556C2">
        <w:t>‘</w:t>
      </w:r>
      <w:r w:rsidR="00DE2E2A">
        <w:t>security</w:t>
      </w:r>
      <w:r w:rsidR="00E556C2">
        <w:t>’</w:t>
      </w:r>
      <w:r w:rsidR="00B87E52">
        <w:t xml:space="preserve"> comprehensively as any of the</w:t>
      </w:r>
      <w:r w:rsidR="00BF629A">
        <w:t xml:space="preserve"> following investments</w:t>
      </w:r>
      <w:r w:rsidR="000C1119">
        <w:t xml:space="preserve"> in accordance with</w:t>
      </w:r>
      <w:r w:rsidR="00F865B6">
        <w:t xml:space="preserve"> article 3(1) (interpretation) of the Regulated Activities Order</w:t>
      </w:r>
      <w:r w:rsidR="00B626C9">
        <w:t>,</w:t>
      </w:r>
      <w:r w:rsidR="00A125E5">
        <w:rPr>
          <w:rStyle w:val="FootnoteReference"/>
        </w:rPr>
        <w:footnoteReference w:id="37"/>
      </w:r>
      <w:r w:rsidR="003700B5">
        <w:t xml:space="preserve"> namely share, debenture</w:t>
      </w:r>
      <w:r w:rsidR="003C7EB4">
        <w:t>, alternative de</w:t>
      </w:r>
      <w:r w:rsidR="00B845DC">
        <w:t>b</w:t>
      </w:r>
      <w:r w:rsidR="003C7EB4">
        <w:t>enture, government and public security</w:t>
      </w:r>
      <w:r w:rsidR="00B845DC">
        <w:t>, w</w:t>
      </w:r>
      <w:r w:rsidR="00027885">
        <w:t>arrant, certificate representing certain securities</w:t>
      </w:r>
      <w:r w:rsidR="00B845DC">
        <w:t xml:space="preserve">, </w:t>
      </w:r>
      <w:r w:rsidR="005F7236">
        <w:t>unit, stakeholder pension scheme,</w:t>
      </w:r>
      <w:r w:rsidR="009D47A4">
        <w:t xml:space="preserve"> personal pension scheme,</w:t>
      </w:r>
      <w:r w:rsidR="00E03AE6">
        <w:t xml:space="preserve"> pension scheme which provides safeguarded benefits</w:t>
      </w:r>
      <w:r w:rsidR="00C25DF0">
        <w:t xml:space="preserve"> (in relation t</w:t>
      </w:r>
      <w:r w:rsidR="004819A1">
        <w:t>o advising on transfer of benefits)</w:t>
      </w:r>
      <w:r w:rsidR="007A647F">
        <w:t>, e</w:t>
      </w:r>
      <w:r w:rsidR="004819A1">
        <w:t>mission</w:t>
      </w:r>
      <w:r w:rsidR="007A647F">
        <w:t xml:space="preserve"> allowance and rights to </w:t>
      </w:r>
      <w:r w:rsidR="009755A9">
        <w:t xml:space="preserve">most of </w:t>
      </w:r>
      <w:r w:rsidR="007A647F">
        <w:t>these.</w:t>
      </w:r>
      <w:r w:rsidR="00172789">
        <w:t xml:space="preserve">  There are slight variations for the listin</w:t>
      </w:r>
      <w:r w:rsidR="00C74413">
        <w:t>g</w:t>
      </w:r>
      <w:r w:rsidR="00172789">
        <w:t xml:space="preserve"> rules and consumer credit</w:t>
      </w:r>
      <w:r w:rsidR="00C74413">
        <w:t xml:space="preserve"> Handbooks.</w:t>
      </w:r>
      <w:r w:rsidR="00293EF6">
        <w:t xml:space="preserve">  The terms are defined</w:t>
      </w:r>
      <w:r w:rsidR="0007452B">
        <w:t xml:space="preserve"> in various articles of the RAO</w:t>
      </w:r>
      <w:r w:rsidR="00FF0F0B">
        <w:t>.</w:t>
      </w:r>
    </w:p>
    <w:p w14:paraId="09AB8B85" w14:textId="452960F0" w:rsidR="000B59F4" w:rsidRDefault="007D6BFB" w:rsidP="00400CBC">
      <w:pPr>
        <w:pStyle w:val="BodyText"/>
      </w:pPr>
      <w:r>
        <w:t xml:space="preserve">In particular, </w:t>
      </w:r>
      <w:r w:rsidR="00A20AAA">
        <w:t>‘</w:t>
      </w:r>
      <w:r w:rsidR="00830889">
        <w:t>share</w:t>
      </w:r>
      <w:r w:rsidR="00DD49E6">
        <w:t>s</w:t>
      </w:r>
      <w:r w:rsidR="00A20AAA">
        <w:t xml:space="preserve"> etc’</w:t>
      </w:r>
      <w:r w:rsidR="00DE6A70">
        <w:rPr>
          <w:rStyle w:val="FootnoteReference"/>
        </w:rPr>
        <w:footnoteReference w:id="38"/>
      </w:r>
      <w:r w:rsidR="00DD49E6">
        <w:t xml:space="preserve"> </w:t>
      </w:r>
      <w:r w:rsidR="002C5656">
        <w:t xml:space="preserve">broadly </w:t>
      </w:r>
      <w:r w:rsidR="00A20AAA">
        <w:t>mean</w:t>
      </w:r>
      <w:r w:rsidR="002C5656">
        <w:t>s</w:t>
      </w:r>
      <w:r w:rsidR="00A20AAA">
        <w:t xml:space="preserve"> shares or</w:t>
      </w:r>
      <w:r w:rsidR="00DD49E6">
        <w:t xml:space="preserve"> stoc</w:t>
      </w:r>
      <w:r w:rsidR="00CE6B99">
        <w:t>k in</w:t>
      </w:r>
      <w:r w:rsidR="007B1CD7">
        <w:t xml:space="preserve"> the share capital </w:t>
      </w:r>
      <w:r w:rsidR="00F2451D">
        <w:t>of any body corporate or</w:t>
      </w:r>
      <w:r w:rsidR="006B7912">
        <w:t xml:space="preserve"> overseas unincorporated body</w:t>
      </w:r>
      <w:r w:rsidR="002C5656">
        <w:t>, but excluding</w:t>
      </w:r>
      <w:r w:rsidR="00817339">
        <w:t xml:space="preserve"> shares in open-ended investment companies</w:t>
      </w:r>
      <w:r w:rsidR="00A86108">
        <w:t xml:space="preserve">, </w:t>
      </w:r>
      <w:r w:rsidR="00356F49">
        <w:t xml:space="preserve">building societies, </w:t>
      </w:r>
      <w:r w:rsidR="00B36F8A">
        <w:t>co-operative and community benefit societies, industrial and provident societies and credit unions.</w:t>
      </w:r>
    </w:p>
    <w:p w14:paraId="5F78AC74" w14:textId="3F32394F" w:rsidR="00705DC3" w:rsidRDefault="00705DC3" w:rsidP="00400CBC">
      <w:pPr>
        <w:pStyle w:val="BodyText"/>
      </w:pPr>
      <w:r>
        <w:t xml:space="preserve">Article </w:t>
      </w:r>
      <w:r w:rsidR="00D55F1F">
        <w:t xml:space="preserve">77 </w:t>
      </w:r>
      <w:r>
        <w:t xml:space="preserve">of the RAO defines </w:t>
      </w:r>
      <w:r w:rsidR="000929BE">
        <w:t>‘instruments</w:t>
      </w:r>
      <w:r w:rsidR="0091751E">
        <w:t xml:space="preserve"> creating or acknowledging indebtedness’</w:t>
      </w:r>
      <w:r w:rsidR="00486655">
        <w:t xml:space="preserve"> as </w:t>
      </w:r>
      <w:r w:rsidR="00E05216">
        <w:t>debentures, debenture stock, loan stock</w:t>
      </w:r>
      <w:r w:rsidR="00F55E02">
        <w:t>, b</w:t>
      </w:r>
      <w:r w:rsidR="00E05216">
        <w:t>o</w:t>
      </w:r>
      <w:r w:rsidR="00F55E02">
        <w:t>n</w:t>
      </w:r>
      <w:r w:rsidR="00E05216">
        <w:t xml:space="preserve">ds, </w:t>
      </w:r>
      <w:r w:rsidR="00F55E02">
        <w:t>certificates</w:t>
      </w:r>
      <w:r w:rsidR="00E05216">
        <w:t xml:space="preserve"> of deposit</w:t>
      </w:r>
      <w:r w:rsidR="00F66441">
        <w:t xml:space="preserve"> and any other instrument creating or acknowledging indebtedness</w:t>
      </w:r>
      <w:r w:rsidR="00466212">
        <w:t xml:space="preserve">, unless thy fall within article 78 </w:t>
      </w:r>
      <w:r w:rsidR="009D3D16">
        <w:t>(government and public securities).  Article</w:t>
      </w:r>
      <w:r w:rsidR="005C0A25">
        <w:t xml:space="preserve"> 77A defines alternative debenture, within the concept of alternative finance</w:t>
      </w:r>
      <w:r w:rsidR="00F31689">
        <w:t>, broadly</w:t>
      </w:r>
      <w:r w:rsidR="002C5A96">
        <w:t xml:space="preserve"> crowdfunding</w:t>
      </w:r>
      <w:r w:rsidR="006141EB">
        <w:t xml:space="preserve">, </w:t>
      </w:r>
      <w:r w:rsidR="009A50CB">
        <w:t>online lenders, peer-t</w:t>
      </w:r>
      <w:r w:rsidR="004F79FA">
        <w:t>o</w:t>
      </w:r>
      <w:r w:rsidR="009A50CB">
        <w:t>-peer lending and similar.</w:t>
      </w:r>
    </w:p>
    <w:p w14:paraId="522073DF" w14:textId="4097E8BD" w:rsidR="004F79FA" w:rsidRDefault="004F79FA" w:rsidP="00400CBC">
      <w:pPr>
        <w:pStyle w:val="BodyText"/>
      </w:pPr>
      <w:r>
        <w:t xml:space="preserve">Thus, the regulatory definitions </w:t>
      </w:r>
      <w:r w:rsidR="00E75A83">
        <w:t xml:space="preserve">of security </w:t>
      </w:r>
      <w:r>
        <w:t xml:space="preserve">are </w:t>
      </w:r>
      <w:r w:rsidR="00F45072">
        <w:t xml:space="preserve">very </w:t>
      </w:r>
      <w:r>
        <w:t>comprehensive</w:t>
      </w:r>
      <w:r w:rsidR="00F45072">
        <w:t xml:space="preserve"> and include equity interests.</w:t>
      </w:r>
      <w:r w:rsidR="003E6F84">
        <w:t xml:space="preserve">  The </w:t>
      </w:r>
      <w:r w:rsidR="00283916">
        <w:t>Unite</w:t>
      </w:r>
      <w:r w:rsidR="002C222D">
        <w:t xml:space="preserve">d </w:t>
      </w:r>
      <w:r w:rsidR="00283916">
        <w:t>States’ Securities Act of 1933</w:t>
      </w:r>
      <w:r w:rsidR="001710EF">
        <w:rPr>
          <w:rStyle w:val="FootnoteReference"/>
        </w:rPr>
        <w:footnoteReference w:id="39"/>
      </w:r>
      <w:r w:rsidR="001710EF">
        <w:t xml:space="preserve"> similarly uses a </w:t>
      </w:r>
      <w:r w:rsidR="0065244F">
        <w:t>comprehensive</w:t>
      </w:r>
      <w:r w:rsidR="001710EF">
        <w:t xml:space="preserve"> definition</w:t>
      </w:r>
      <w:r w:rsidR="00530092">
        <w:t>:</w:t>
      </w:r>
    </w:p>
    <w:p w14:paraId="445586B5" w14:textId="45E88A23" w:rsidR="00E67E2E" w:rsidRDefault="00E67E2E" w:rsidP="00E67E2E">
      <w:pPr>
        <w:pStyle w:val="BodyText"/>
        <w:ind w:left="720"/>
      </w:pPr>
      <w:r w:rsidRPr="00E67E2E">
        <w:t xml:space="preserve">The term </w:t>
      </w:r>
      <w:r w:rsidR="00185D20">
        <w:t>‘</w:t>
      </w:r>
      <w:r w:rsidRPr="00E67E2E">
        <w:t>security</w:t>
      </w:r>
      <w:r w:rsidR="00185D20">
        <w:t>’</w:t>
      </w:r>
      <w:r w:rsidRPr="00E67E2E">
        <w:t xml:space="preserve"> means any note, stock, treasury stock, security future, security-based swap, bond, debenture, evidence of indebtedness, certificate of interest or participation in any profit-sharing agreement, collateral-trust certificate, preorganization certificate or subscription, transferable share, investment contract, voting-trust certificate, certificate of deposit for a security, fractional undivided interest in oil, gas, or other mineral rights, any put, call, straddle, option, or privilege on any security, certificate of deposit, or group or index of securities (including any interest therein or based on the value thereof), or any put, call, straddle, option, or privilege entered into on a national securities exchange relating to foreign currency, or, in general, any interest or instrument commonly known as a </w:t>
      </w:r>
      <w:r w:rsidR="00CC3265">
        <w:t>‘</w:t>
      </w:r>
      <w:r w:rsidRPr="00E67E2E">
        <w:t>security</w:t>
      </w:r>
      <w:r w:rsidR="00CC3265">
        <w:t>’</w:t>
      </w:r>
      <w:r w:rsidRPr="00E67E2E">
        <w:t>, or any certificate of interest or participation in, temporary or interim certificate for, receipt for, guarantee of, or warrant or right to subscribe to or purchase, any of the foregoing</w:t>
      </w:r>
      <w:r>
        <w:t>.</w:t>
      </w:r>
    </w:p>
    <w:p w14:paraId="29B167BD" w14:textId="22690153" w:rsidR="00690FA8" w:rsidRDefault="00690FA8" w:rsidP="00690FA8">
      <w:pPr>
        <w:pStyle w:val="Heading3"/>
      </w:pPr>
      <w:r>
        <w:t>Commerce</w:t>
      </w:r>
    </w:p>
    <w:p w14:paraId="1C222EE3" w14:textId="3F2FEA1F" w:rsidR="00E67E2E" w:rsidRDefault="009E1D52" w:rsidP="00400CBC">
      <w:pPr>
        <w:pStyle w:val="BodyText"/>
      </w:pPr>
      <w:r>
        <w:t>In commercial practice</w:t>
      </w:r>
      <w:r w:rsidR="00C51002">
        <w:t xml:space="preserve">, </w:t>
      </w:r>
      <w:r w:rsidR="005E244C">
        <w:t>‘</w:t>
      </w:r>
      <w:r w:rsidR="00C51002">
        <w:t>securities</w:t>
      </w:r>
      <w:r w:rsidR="00BC55BF">
        <w:t>’</w:t>
      </w:r>
      <w:r w:rsidR="00DA2178">
        <w:t xml:space="preserve"> normally includes shares.  The </w:t>
      </w:r>
      <w:r w:rsidR="00DA2178" w:rsidRPr="008B1D1E">
        <w:rPr>
          <w:i/>
          <w:iCs/>
        </w:rPr>
        <w:t>O</w:t>
      </w:r>
      <w:r w:rsidR="00781449" w:rsidRPr="008B1D1E">
        <w:rPr>
          <w:i/>
          <w:iCs/>
        </w:rPr>
        <w:t>xford Dictionary of Finance and Banking</w:t>
      </w:r>
      <w:r w:rsidR="00781449">
        <w:rPr>
          <w:rStyle w:val="FootnoteReference"/>
        </w:rPr>
        <w:footnoteReference w:id="40"/>
      </w:r>
      <w:r w:rsidR="00CD75E7">
        <w:t xml:space="preserve"> gives </w:t>
      </w:r>
      <w:r w:rsidR="00C33B3D">
        <w:t>two meanings</w:t>
      </w:r>
      <w:r w:rsidR="008B1D1E">
        <w:t>, which reflect the asset or assets in the issuer’s balance sheet which secures the holding, and the asset of the holder, which is a liability of the issuer</w:t>
      </w:r>
      <w:r w:rsidR="007C1220">
        <w:t>:</w:t>
      </w:r>
    </w:p>
    <w:p w14:paraId="0802DCBB" w14:textId="071A1A35" w:rsidR="00424F64" w:rsidRDefault="001B3E34" w:rsidP="00424F64">
      <w:pPr>
        <w:pStyle w:val="BodyText"/>
        <w:numPr>
          <w:ilvl w:val="0"/>
          <w:numId w:val="42"/>
        </w:numPr>
      </w:pPr>
      <w:r>
        <w:lastRenderedPageBreak/>
        <w:t>An asset or assets</w:t>
      </w:r>
      <w:r w:rsidR="00640611">
        <w:t xml:space="preserve"> to which a lender can have recourse if</w:t>
      </w:r>
      <w:r w:rsidR="00A03F84">
        <w:t xml:space="preserve"> the borrower defaults on any loan repayments.</w:t>
      </w:r>
      <w:r w:rsidR="007502F1">
        <w:t xml:space="preserve">  In the case </w:t>
      </w:r>
      <w:r w:rsidR="004F5324">
        <w:t>of</w:t>
      </w:r>
      <w:r w:rsidR="007502F1">
        <w:t xml:space="preserve"> loans from banks and other moneylenders</w:t>
      </w:r>
      <w:r w:rsidR="008C73F6">
        <w:t xml:space="preserve"> the security is sometimes referred to as collateral</w:t>
      </w:r>
      <w:r w:rsidR="00887BCD">
        <w:t>.</w:t>
      </w:r>
    </w:p>
    <w:p w14:paraId="7CA5CAD6" w14:textId="0C0FE323" w:rsidR="008C73F6" w:rsidRDefault="00067423" w:rsidP="00424F64">
      <w:pPr>
        <w:pStyle w:val="BodyText"/>
        <w:numPr>
          <w:ilvl w:val="0"/>
          <w:numId w:val="42"/>
        </w:numPr>
      </w:pPr>
      <w:r>
        <w:t>A financial asset</w:t>
      </w:r>
      <w:r w:rsidR="005F0BA3">
        <w:t>, including shares, government stocks, debentures, bonds, unit trusts</w:t>
      </w:r>
      <w:r w:rsidR="00D72955">
        <w:t xml:space="preserve"> and rights to money lent or deposited.  It does not, however,</w:t>
      </w:r>
      <w:r w:rsidR="002A4928">
        <w:t xml:space="preserve"> include insurance policies.</w:t>
      </w:r>
    </w:p>
    <w:p w14:paraId="22170424" w14:textId="316487F9" w:rsidR="00F523A9" w:rsidRDefault="003953EA" w:rsidP="00F523A9">
      <w:pPr>
        <w:pStyle w:val="BodyText"/>
      </w:pPr>
      <w:r>
        <w:t>According to Investopedia</w:t>
      </w:r>
      <w:r w:rsidR="00BF4151">
        <w:t>,</w:t>
      </w:r>
      <w:r w:rsidR="00765647">
        <w:rPr>
          <w:rStyle w:val="FootnoteReference"/>
        </w:rPr>
        <w:footnoteReference w:id="41"/>
      </w:r>
      <w:r w:rsidR="00BF4151">
        <w:t xml:space="preserve"> </w:t>
      </w:r>
      <w:r w:rsidR="007A6F37">
        <w:t>‘</w:t>
      </w:r>
      <w:r w:rsidR="005C64F0">
        <w:t>[</w:t>
      </w:r>
      <w:r w:rsidR="00E80D90">
        <w:t>t</w:t>
      </w:r>
      <w:r w:rsidR="005C64F0">
        <w:t>]</w:t>
      </w:r>
      <w:r w:rsidR="00BF4151">
        <w:t>he term security refers to a fungible</w:t>
      </w:r>
      <w:r w:rsidR="00E266E6">
        <w:t>, negotiable financial instrument that holds some type of monetary value</w:t>
      </w:r>
      <w:r w:rsidR="005C64F0">
        <w:t>.  It represents an ownership position</w:t>
      </w:r>
      <w:r w:rsidR="009536F1">
        <w:t xml:space="preserve"> in a </w:t>
      </w:r>
      <w:r w:rsidR="00F523A9">
        <w:t>publicly traded</w:t>
      </w:r>
      <w:r w:rsidR="009536F1">
        <w:t xml:space="preserve"> corporation </w:t>
      </w:r>
      <w:r w:rsidR="00F523A9" w:rsidRPr="00F523A9">
        <w:t>via stock; a creditor relationship with a governmental body or a corporation represented by owning that entity's bond; or rights to ownership as represented by an</w:t>
      </w:r>
      <w:r w:rsidR="00F523A9">
        <w:t xml:space="preserve"> option</w:t>
      </w:r>
      <w:r w:rsidR="00E93B73">
        <w:t>.’</w:t>
      </w:r>
      <w:r w:rsidR="004F50EB">
        <w:t xml:space="preserve">  The entry goes on to assert that there are</w:t>
      </w:r>
      <w:r w:rsidR="00913A45">
        <w:t xml:space="preserve"> </w:t>
      </w:r>
      <w:r w:rsidR="00913A45" w:rsidRPr="00913A45">
        <w:t>primarily three types of securities: equity</w:t>
      </w:r>
      <w:r w:rsidR="00765647">
        <w:t xml:space="preserve">, </w:t>
      </w:r>
      <w:r w:rsidR="00913A45" w:rsidRPr="00913A45">
        <w:t>which provides ownership rights to holders; debt</w:t>
      </w:r>
      <w:r w:rsidR="00765647">
        <w:t xml:space="preserve">, </w:t>
      </w:r>
      <w:r w:rsidR="00913A45" w:rsidRPr="00913A45">
        <w:t>essentially loans repaid with periodic payments; and hybrids</w:t>
      </w:r>
      <w:r w:rsidR="00765647">
        <w:t xml:space="preserve">, </w:t>
      </w:r>
      <w:r w:rsidR="00913A45" w:rsidRPr="00913A45">
        <w:t>which combine aspects of debt and equity.</w:t>
      </w:r>
    </w:p>
    <w:p w14:paraId="78C1257C" w14:textId="6058CFE5" w:rsidR="00690FA8" w:rsidRDefault="00C87B9E" w:rsidP="00C87B9E">
      <w:pPr>
        <w:pStyle w:val="Heading3"/>
      </w:pPr>
      <w:r>
        <w:t>Economics</w:t>
      </w:r>
    </w:p>
    <w:p w14:paraId="4B8EFA1A" w14:textId="5BD51E83" w:rsidR="00896906" w:rsidRDefault="00896906" w:rsidP="00F523A9">
      <w:pPr>
        <w:pStyle w:val="BodyText"/>
      </w:pPr>
      <w:r>
        <w:t>In economics</w:t>
      </w:r>
      <w:r w:rsidR="003934B1">
        <w:t xml:space="preserve"> </w:t>
      </w:r>
      <w:r w:rsidR="00745D0E">
        <w:t xml:space="preserve">the difference </w:t>
      </w:r>
      <w:r w:rsidR="003E3D00">
        <w:t>in tax tr</w:t>
      </w:r>
      <w:r w:rsidR="00766D99">
        <w:t xml:space="preserve">eatment </w:t>
      </w:r>
      <w:r w:rsidR="00745D0E">
        <w:t>between returns on</w:t>
      </w:r>
      <w:r w:rsidR="002F583C">
        <w:t xml:space="preserve"> shares and </w:t>
      </w:r>
      <w:r w:rsidR="00EA04B5">
        <w:t xml:space="preserve">on </w:t>
      </w:r>
      <w:r w:rsidR="002F583C">
        <w:t>securities is</w:t>
      </w:r>
      <w:r w:rsidR="00B14060">
        <w:t xml:space="preserve"> generally</w:t>
      </w:r>
      <w:r w:rsidR="00FD6B7D">
        <w:t xml:space="preserve"> </w:t>
      </w:r>
      <w:r w:rsidR="002F583C">
        <w:t>regarded as an undesirable distortion.</w:t>
      </w:r>
      <w:r w:rsidR="009B4C2E">
        <w:rPr>
          <w:rStyle w:val="FootnoteReference"/>
        </w:rPr>
        <w:footnoteReference w:id="42"/>
      </w:r>
      <w:r w:rsidR="00700BD3">
        <w:t xml:space="preserve">  The</w:t>
      </w:r>
      <w:r w:rsidR="00635E62">
        <w:t xml:space="preserve"> historic</w:t>
      </w:r>
      <w:r w:rsidR="007E7A41">
        <w:t>ally</w:t>
      </w:r>
      <w:r w:rsidR="00700BD3">
        <w:t xml:space="preserve"> principled distin</w:t>
      </w:r>
      <w:r w:rsidR="005D0DC4">
        <w:t xml:space="preserve">ction between equity ownership </w:t>
      </w:r>
      <w:r w:rsidR="008062EF">
        <w:t xml:space="preserve">shares in a company and debt securities of it is of little interest in the context of raising capital in </w:t>
      </w:r>
      <w:r w:rsidR="00261151">
        <w:t>the markets, and</w:t>
      </w:r>
      <w:r w:rsidR="00C32FDE">
        <w:t xml:space="preserve"> Ruud de Mooi</w:t>
      </w:r>
      <w:r w:rsidR="00C81B83">
        <w:t xml:space="preserve">j has spoken of </w:t>
      </w:r>
      <w:r w:rsidR="00F863F4">
        <w:t>‘</w:t>
      </w:r>
      <w:r w:rsidR="00C81B83">
        <w:t>the withering borderline between debt and equity instruments</w:t>
      </w:r>
      <w:r w:rsidR="00334CEE">
        <w:t>’</w:t>
      </w:r>
      <w:r w:rsidR="00394B8F">
        <w:t>.</w:t>
      </w:r>
      <w:r w:rsidR="00F95DDE">
        <w:rPr>
          <w:rStyle w:val="FootnoteReference"/>
        </w:rPr>
        <w:footnoteReference w:id="43"/>
      </w:r>
      <w:r w:rsidR="0029084F">
        <w:t xml:space="preserve">  </w:t>
      </w:r>
      <w:r w:rsidR="00900CF6">
        <w:t>Several solutions to this distortion have been proposed and, sometimes, put into practice</w:t>
      </w:r>
      <w:r w:rsidR="00FC4A7A">
        <w:t xml:space="preserve"> in various tax jurisdictions</w:t>
      </w:r>
      <w:r w:rsidR="00DE1080">
        <w:t xml:space="preserve"> although the </w:t>
      </w:r>
      <w:r w:rsidR="00B66212">
        <w:t>‘</w:t>
      </w:r>
      <w:r w:rsidR="00DE1080">
        <w:t xml:space="preserve">debt/equity </w:t>
      </w:r>
      <w:r w:rsidR="00456C9E">
        <w:t>bias’</w:t>
      </w:r>
      <w:r w:rsidR="00B66212">
        <w:t xml:space="preserve"> </w:t>
      </w:r>
      <w:r w:rsidR="00DE1080">
        <w:t>has proved enduring, and there has been a tendency to concentrate on the t</w:t>
      </w:r>
      <w:r w:rsidR="000577DD">
        <w:t>ax treatment of the company rather than considering</w:t>
      </w:r>
      <w:r w:rsidR="00956976">
        <w:t xml:space="preserve"> also</w:t>
      </w:r>
      <w:r w:rsidR="000577DD">
        <w:t xml:space="preserve"> the</w:t>
      </w:r>
      <w:r w:rsidR="005E7F70">
        <w:t xml:space="preserve"> </w:t>
      </w:r>
      <w:r w:rsidR="00956976">
        <w:t xml:space="preserve">tax </w:t>
      </w:r>
      <w:r w:rsidR="005E7F70">
        <w:t>treatment of shareholder and</w:t>
      </w:r>
      <w:r w:rsidR="004942B4">
        <w:t xml:space="preserve"> holders of debt securities</w:t>
      </w:r>
      <w:r w:rsidR="008E1833">
        <w:t>, which is necessary to complete the picture.</w:t>
      </w:r>
    </w:p>
    <w:p w14:paraId="31B7EC04" w14:textId="6EC4B91A" w:rsidR="006C78AA" w:rsidRDefault="005D50BC" w:rsidP="00F523A9">
      <w:pPr>
        <w:pStyle w:val="BodyText"/>
      </w:pPr>
      <w:r>
        <w:t xml:space="preserve">In 1982 the question of </w:t>
      </w:r>
      <w:r w:rsidR="00BD1BBF">
        <w:t xml:space="preserve">debt/equity bias was examined in </w:t>
      </w:r>
      <w:r w:rsidR="00AB16FE">
        <w:t xml:space="preserve">the </w:t>
      </w:r>
      <w:r w:rsidR="00D7684B">
        <w:t xml:space="preserve">United Kingdom in </w:t>
      </w:r>
      <w:r w:rsidR="00BD1BBF">
        <w:t xml:space="preserve">the Green Paper </w:t>
      </w:r>
      <w:r w:rsidR="00134F72">
        <w:t>‘</w:t>
      </w:r>
      <w:r w:rsidR="00BD1BBF">
        <w:t>Corpo</w:t>
      </w:r>
      <w:r w:rsidR="00C327DC">
        <w:t>ration Tax</w:t>
      </w:r>
      <w:r w:rsidR="00084CB2">
        <w:t>’</w:t>
      </w:r>
      <w:r w:rsidR="00C327DC">
        <w:rPr>
          <w:rStyle w:val="FootnoteReference"/>
        </w:rPr>
        <w:footnoteReference w:id="44"/>
      </w:r>
      <w:r w:rsidR="00B62F36">
        <w:t>, written at a time when inflation was a serio</w:t>
      </w:r>
      <w:r w:rsidR="00847ACB">
        <w:t>u</w:t>
      </w:r>
      <w:r w:rsidR="00B62F36">
        <w:t>s proble</w:t>
      </w:r>
      <w:r w:rsidR="0031659D">
        <w:t xml:space="preserve">m, after the introduction of the </w:t>
      </w:r>
      <w:r w:rsidR="00227AB9">
        <w:t xml:space="preserve">partial </w:t>
      </w:r>
      <w:r w:rsidR="006E5088">
        <w:t>i</w:t>
      </w:r>
      <w:r w:rsidR="0031659D">
        <w:t>mputation system</w:t>
      </w:r>
      <w:r w:rsidR="00E72CCD">
        <w:t xml:space="preserve"> in the United Kingdom</w:t>
      </w:r>
      <w:r w:rsidR="006E5088">
        <w:t xml:space="preserve"> </w:t>
      </w:r>
      <w:r w:rsidR="00847ACB">
        <w:t>in 1973</w:t>
      </w:r>
      <w:r w:rsidR="00720736">
        <w:t xml:space="preserve"> and following the report of th</w:t>
      </w:r>
      <w:r w:rsidR="0054736C">
        <w:t>e Meade Committee</w:t>
      </w:r>
      <w:r w:rsidR="003D59BF">
        <w:t xml:space="preserve"> which considered the case for </w:t>
      </w:r>
      <w:r w:rsidR="00AC5329">
        <w:t xml:space="preserve">two </w:t>
      </w:r>
      <w:r w:rsidR="003D59BF">
        <w:t>different types o</w:t>
      </w:r>
      <w:r w:rsidR="0048139F">
        <w:t>f</w:t>
      </w:r>
      <w:r w:rsidR="00060D77">
        <w:t xml:space="preserve"> ‘</w:t>
      </w:r>
      <w:r w:rsidR="00EF0A23">
        <w:t>cash flow corporate</w:t>
      </w:r>
      <w:r w:rsidR="0048139F">
        <w:t xml:space="preserve"> taxes</w:t>
      </w:r>
      <w:r w:rsidR="00864B76">
        <w:t>’</w:t>
      </w:r>
      <w:r w:rsidR="00AC5329">
        <w:t xml:space="preserve"> on the </w:t>
      </w:r>
      <w:r w:rsidR="004F3649">
        <w:t>‘</w:t>
      </w:r>
      <w:r w:rsidR="00BB6C59">
        <w:t>R</w:t>
      </w:r>
      <w:r w:rsidR="00864B76">
        <w:t>’</w:t>
      </w:r>
      <w:r w:rsidR="00BB6C59">
        <w:t xml:space="preserve"> and </w:t>
      </w:r>
      <w:r w:rsidR="004F3649">
        <w:t>‘R</w:t>
      </w:r>
      <w:r w:rsidR="000610F4">
        <w:t xml:space="preserve">+F’ </w:t>
      </w:r>
      <w:r w:rsidR="00BB6C59">
        <w:t>bases</w:t>
      </w:r>
      <w:r w:rsidR="006576D1">
        <w:t>.  The main</w:t>
      </w:r>
      <w:r w:rsidR="00043C40">
        <w:t xml:space="preserve"> difference between th</w:t>
      </w:r>
      <w:r w:rsidR="009926D1">
        <w:t>ese is</w:t>
      </w:r>
      <w:r w:rsidR="00043C40">
        <w:t xml:space="preserve"> t</w:t>
      </w:r>
      <w:r w:rsidR="00F1382F">
        <w:t>h</w:t>
      </w:r>
      <w:r w:rsidR="00043C40">
        <w:t xml:space="preserve">at the </w:t>
      </w:r>
      <w:r w:rsidR="00F1382F">
        <w:t>former take</w:t>
      </w:r>
      <w:r w:rsidR="009926D1">
        <w:t>s</w:t>
      </w:r>
      <w:r w:rsidR="00F1382F">
        <w:t xml:space="preserve"> no account of financial </w:t>
      </w:r>
      <w:r w:rsidR="00A875E7">
        <w:t>transactions</w:t>
      </w:r>
      <w:r w:rsidR="00495EEB">
        <w:t xml:space="preserve">.  </w:t>
      </w:r>
      <w:r w:rsidR="00FD34D5">
        <w:t xml:space="preserve">The R+F </w:t>
      </w:r>
      <w:r w:rsidR="00C61206">
        <w:t xml:space="preserve">basis is equivalent to the </w:t>
      </w:r>
      <w:r w:rsidR="00D55746">
        <w:t>‘S’ or shareholder</w:t>
      </w:r>
      <w:r w:rsidR="00B618B1">
        <w:t xml:space="preserve"> cash flow </w:t>
      </w:r>
      <w:r w:rsidR="000D459C">
        <w:t xml:space="preserve">corporation tax </w:t>
      </w:r>
      <w:r w:rsidR="000D459C">
        <w:lastRenderedPageBreak/>
        <w:t>basis</w:t>
      </w:r>
      <w:r w:rsidR="00494A72">
        <w:t>, which looks at net cash flow to shareholders</w:t>
      </w:r>
      <w:r w:rsidR="000D459C">
        <w:t xml:space="preserve">.  </w:t>
      </w:r>
      <w:r w:rsidR="00495EEB">
        <w:t>The Gre</w:t>
      </w:r>
      <w:r w:rsidR="00231324">
        <w:t>e</w:t>
      </w:r>
      <w:r w:rsidR="00495EEB">
        <w:t xml:space="preserve">n Paper </w:t>
      </w:r>
      <w:r w:rsidR="00AC0DBC">
        <w:t>noted that</w:t>
      </w:r>
      <w:r w:rsidR="00231324">
        <w:t xml:space="preserve"> </w:t>
      </w:r>
      <w:r w:rsidR="00572B00">
        <w:t>debt/equity bias</w:t>
      </w:r>
      <w:r w:rsidR="006F6CD6">
        <w:t xml:space="preserve"> is </w:t>
      </w:r>
      <w:r w:rsidR="00572B00">
        <w:t>a feature of bot</w:t>
      </w:r>
      <w:r w:rsidR="00E260F8">
        <w:t>h</w:t>
      </w:r>
      <w:r w:rsidR="00572B00">
        <w:t xml:space="preserve"> </w:t>
      </w:r>
      <w:r w:rsidR="00516D71">
        <w:t>‘</w:t>
      </w:r>
      <w:r w:rsidR="00572B00">
        <w:t>classical</w:t>
      </w:r>
      <w:r w:rsidR="00516D71">
        <w:t>’</w:t>
      </w:r>
      <w:r w:rsidR="00572B00">
        <w:t xml:space="preserve"> </w:t>
      </w:r>
      <w:r w:rsidR="007006B6">
        <w:t xml:space="preserve">(company and shareholder taxed </w:t>
      </w:r>
      <w:r w:rsidR="002D2BB3">
        <w:t xml:space="preserve">independently) </w:t>
      </w:r>
      <w:r w:rsidR="00572B00">
        <w:t>and</w:t>
      </w:r>
      <w:r w:rsidR="00245C64">
        <w:t xml:space="preserve"> </w:t>
      </w:r>
      <w:r w:rsidR="00CD6517">
        <w:t xml:space="preserve">partial </w:t>
      </w:r>
      <w:r w:rsidR="00245C64">
        <w:t>imputation</w:t>
      </w:r>
      <w:r w:rsidR="002D2BB3">
        <w:t xml:space="preserve"> tax credit</w:t>
      </w:r>
      <w:r w:rsidR="00245C64">
        <w:t xml:space="preserve"> systems</w:t>
      </w:r>
      <w:r w:rsidR="001658B9">
        <w:t xml:space="preserve">, the latter leaving </w:t>
      </w:r>
      <w:r w:rsidR="00081A09">
        <w:t>‘</w:t>
      </w:r>
      <w:r w:rsidR="001658B9">
        <w:t>mainstream</w:t>
      </w:r>
      <w:r w:rsidR="00081A09">
        <w:t>’</w:t>
      </w:r>
      <w:r w:rsidR="001658B9">
        <w:t xml:space="preserve"> corporation tax</w:t>
      </w:r>
      <w:r w:rsidR="003566D4">
        <w:t xml:space="preserve"> unfranked by tax on distributions.</w:t>
      </w:r>
    </w:p>
    <w:p w14:paraId="0B8A1FA4" w14:textId="78D4CE42" w:rsidR="009F77DC" w:rsidRDefault="009F77DC" w:rsidP="00F523A9">
      <w:pPr>
        <w:pStyle w:val="BodyText"/>
      </w:pPr>
      <w:r>
        <w:t>The Green Paper went on to discuss</w:t>
      </w:r>
      <w:r w:rsidR="007528FE">
        <w:t xml:space="preserve"> a system which </w:t>
      </w:r>
      <w:r w:rsidR="00986DEB">
        <w:t xml:space="preserve">would </w:t>
      </w:r>
      <w:r w:rsidR="007528FE">
        <w:t>allow deductions for</w:t>
      </w:r>
      <w:r w:rsidR="006C6398">
        <w:t xml:space="preserve"> distributions</w:t>
      </w:r>
      <w:r w:rsidR="00986DEB">
        <w:t xml:space="preserve"> on shares</w:t>
      </w:r>
      <w:r w:rsidR="006C6398">
        <w:t>, or at lea</w:t>
      </w:r>
      <w:r w:rsidR="00B11CC0">
        <w:t>s</w:t>
      </w:r>
      <w:r w:rsidR="006C6398">
        <w:t>t for a market rate return on the capital</w:t>
      </w:r>
      <w:r w:rsidR="00B11CC0">
        <w:t xml:space="preserve"> just as debt interest might be deducted</w:t>
      </w:r>
      <w:r w:rsidR="00986DEB">
        <w:t xml:space="preserve"> from interest </w:t>
      </w:r>
      <w:r w:rsidR="00A645D4">
        <w:t>on securities</w:t>
      </w:r>
      <w:r w:rsidR="00F661A5">
        <w:t>, and also a rather complicated tw</w:t>
      </w:r>
      <w:r w:rsidR="002A4120">
        <w:t>o-rate system</w:t>
      </w:r>
      <w:r w:rsidR="000E4B73">
        <w:t>, at that time in use in the</w:t>
      </w:r>
      <w:r w:rsidR="00815E8A">
        <w:t xml:space="preserve"> Federal Republic of Germany, which applied different tax ra</w:t>
      </w:r>
      <w:r w:rsidR="003F103D">
        <w:t>tes to distributed and undistributed profits.</w:t>
      </w:r>
    </w:p>
    <w:p w14:paraId="16F9BB75" w14:textId="741134CF" w:rsidR="005603EE" w:rsidRDefault="005603EE" w:rsidP="00F523A9">
      <w:pPr>
        <w:pStyle w:val="BodyText"/>
      </w:pPr>
      <w:r>
        <w:t xml:space="preserve">More </w:t>
      </w:r>
      <w:r w:rsidR="00A2366C">
        <w:t xml:space="preserve">recently the </w:t>
      </w:r>
      <w:r w:rsidR="00E0575A">
        <w:t>neutrality</w:t>
      </w:r>
      <w:r w:rsidR="00A2366C">
        <w:t xml:space="preserve"> issue has been approached through the</w:t>
      </w:r>
      <w:r w:rsidR="00E0575A">
        <w:t xml:space="preserve"> </w:t>
      </w:r>
      <w:r w:rsidR="008F6054">
        <w:t xml:space="preserve">various </w:t>
      </w:r>
      <w:r w:rsidR="00E0575A">
        <w:t>concept</w:t>
      </w:r>
      <w:r w:rsidR="00967D25">
        <w:t xml:space="preserve">s of </w:t>
      </w:r>
      <w:r w:rsidR="004A12A5">
        <w:t>‘</w:t>
      </w:r>
      <w:r w:rsidR="00E0575A">
        <w:t>ACE</w:t>
      </w:r>
      <w:r w:rsidR="00151CE7">
        <w:t>’</w:t>
      </w:r>
      <w:r w:rsidR="00E0575A">
        <w:t xml:space="preserve">, allowance for corporate </w:t>
      </w:r>
      <w:r w:rsidR="000E42CE">
        <w:t>equity,</w:t>
      </w:r>
      <w:r w:rsidR="00967D25">
        <w:t xml:space="preserve"> </w:t>
      </w:r>
      <w:r w:rsidR="002807B5">
        <w:t xml:space="preserve">‘ASE’, </w:t>
      </w:r>
      <w:r w:rsidR="00967D25">
        <w:t>allowance for shareholder</w:t>
      </w:r>
      <w:r w:rsidR="004B0074">
        <w:t xml:space="preserve"> equity</w:t>
      </w:r>
      <w:r w:rsidR="00BB5963">
        <w:t>,</w:t>
      </w:r>
      <w:r w:rsidR="004B0074">
        <w:t xml:space="preserve"> and</w:t>
      </w:r>
      <w:r w:rsidR="000E42CE">
        <w:t xml:space="preserve"> </w:t>
      </w:r>
      <w:r w:rsidR="002807B5">
        <w:t>‘</w:t>
      </w:r>
      <w:r w:rsidR="000E42CE">
        <w:t>ACC</w:t>
      </w:r>
      <w:r w:rsidR="004A12A5">
        <w:t>’</w:t>
      </w:r>
      <w:r w:rsidR="000E42CE">
        <w:t>, all</w:t>
      </w:r>
      <w:r w:rsidR="005D7B73">
        <w:t>owance for corporate capital</w:t>
      </w:r>
      <w:r w:rsidR="00BA0669">
        <w:t>.</w:t>
      </w:r>
      <w:r w:rsidR="001B1BA5">
        <w:rPr>
          <w:rStyle w:val="FootnoteReference"/>
        </w:rPr>
        <w:footnoteReference w:id="45"/>
      </w:r>
      <w:r w:rsidR="00BA0669">
        <w:t xml:space="preserve">  The</w:t>
      </w:r>
      <w:r w:rsidR="00F6036A">
        <w:t xml:space="preserve"> other possible approach is n</w:t>
      </w:r>
      <w:r w:rsidR="00CD54C6">
        <w:t>o</w:t>
      </w:r>
      <w:r w:rsidR="00F6036A">
        <w:t>t to allow deductions for interest paid</w:t>
      </w:r>
      <w:r w:rsidR="00CD54C6">
        <w:t xml:space="preserve">, </w:t>
      </w:r>
      <w:r w:rsidR="008625C5">
        <w:t xml:space="preserve">see </w:t>
      </w:r>
      <w:r w:rsidR="00FB5BDA">
        <w:t>n</w:t>
      </w:r>
      <w:r w:rsidR="00F92AC8">
        <w:t xml:space="preserve"> </w:t>
      </w:r>
      <w:r w:rsidR="00F668A1">
        <w:t>4</w:t>
      </w:r>
      <w:r w:rsidR="00853CF3">
        <w:t>2</w:t>
      </w:r>
      <w:r w:rsidR="00F668A1">
        <w:t xml:space="preserve"> above</w:t>
      </w:r>
      <w:r w:rsidR="00FB5BDA">
        <w:t xml:space="preserve">, and </w:t>
      </w:r>
      <w:r w:rsidR="00CD54C6">
        <w:t>as in the U</w:t>
      </w:r>
      <w:r w:rsidR="00264A14">
        <w:t>n</w:t>
      </w:r>
      <w:r w:rsidR="00BA70C6">
        <w:t xml:space="preserve">ited </w:t>
      </w:r>
      <w:r w:rsidR="00CD54C6">
        <w:t>S</w:t>
      </w:r>
      <w:r w:rsidR="00BA70C6">
        <w:t>tates</w:t>
      </w:r>
      <w:r w:rsidR="00CD54C6">
        <w:t xml:space="preserve"> Tr</w:t>
      </w:r>
      <w:r w:rsidR="00172389">
        <w:t>easury’s</w:t>
      </w:r>
      <w:r w:rsidR="00F668A1">
        <w:t xml:space="preserve"> 1992</w:t>
      </w:r>
      <w:r w:rsidR="00172389">
        <w:t xml:space="preserve"> discussion</w:t>
      </w:r>
      <w:r w:rsidR="00F668A1">
        <w:t xml:space="preserve"> paper</w:t>
      </w:r>
      <w:r w:rsidR="00F90128">
        <w:t xml:space="preserve"> </w:t>
      </w:r>
      <w:r w:rsidR="00172389">
        <w:t xml:space="preserve">of a </w:t>
      </w:r>
      <w:r w:rsidR="00297984">
        <w:t>‘</w:t>
      </w:r>
      <w:r w:rsidR="00172389">
        <w:t xml:space="preserve">comprehensive </w:t>
      </w:r>
      <w:r w:rsidR="009265EE">
        <w:t>business</w:t>
      </w:r>
      <w:r w:rsidR="00172389">
        <w:t xml:space="preserve"> income tax</w:t>
      </w:r>
      <w:r w:rsidR="00297984">
        <w:t>’</w:t>
      </w:r>
      <w:r w:rsidR="008A5C01">
        <w:t>.</w:t>
      </w:r>
      <w:r w:rsidR="00654EDB">
        <w:rPr>
          <w:rStyle w:val="FootnoteReference"/>
        </w:rPr>
        <w:footnoteReference w:id="46"/>
      </w:r>
    </w:p>
    <w:p w14:paraId="605A186F" w14:textId="2C035429" w:rsidR="00136456" w:rsidRDefault="00640324" w:rsidP="00136456">
      <w:pPr>
        <w:pStyle w:val="Heading3"/>
      </w:pPr>
      <w:r>
        <w:t>Securities and distributed ledger technology</w:t>
      </w:r>
    </w:p>
    <w:p w14:paraId="024CAEC7" w14:textId="5DF46B5E" w:rsidR="00885D00" w:rsidRDefault="00CB72AA" w:rsidP="00720D65">
      <w:pPr>
        <w:pStyle w:val="BodyText"/>
      </w:pPr>
      <w:r>
        <w:t xml:space="preserve">Blockchain is the </w:t>
      </w:r>
      <w:r w:rsidR="00500454">
        <w:t>best-known</w:t>
      </w:r>
      <w:r>
        <w:t xml:space="preserve"> </w:t>
      </w:r>
      <w:r w:rsidR="00CD6581">
        <w:t>distributed ledger technology</w:t>
      </w:r>
      <w:r w:rsidR="0068470D">
        <w:t xml:space="preserve"> (</w:t>
      </w:r>
      <w:r w:rsidR="00BA0E98">
        <w:t>DLT)</w:t>
      </w:r>
      <w:r w:rsidR="00111FFA">
        <w:t>, although it is</w:t>
      </w:r>
      <w:r w:rsidR="00677C07">
        <w:t xml:space="preserve"> just one type of distributed ledger</w:t>
      </w:r>
      <w:r w:rsidR="00F93FA8">
        <w:t>.</w:t>
      </w:r>
      <w:r w:rsidR="00F97B6E">
        <w:t xml:space="preserve">  Th</w:t>
      </w:r>
      <w:r w:rsidR="00BA0E98">
        <w:t>is</w:t>
      </w:r>
      <w:r w:rsidR="00F97B6E">
        <w:t xml:space="preserve"> is a database that</w:t>
      </w:r>
      <w:r w:rsidR="00765BE8">
        <w:t xml:space="preserve"> is distributed across </w:t>
      </w:r>
      <w:r w:rsidR="008E062D">
        <w:t>several locations or among multiple participants</w:t>
      </w:r>
      <w:r w:rsidR="00E34CE1">
        <w:t xml:space="preserve">, </w:t>
      </w:r>
      <w:r w:rsidR="0065503B">
        <w:t>thus avoiding</w:t>
      </w:r>
      <w:r w:rsidR="00E34CE1">
        <w:t xml:space="preserve"> the </w:t>
      </w:r>
      <w:r w:rsidR="008B1E52">
        <w:t>need for a central authority or intermediary</w:t>
      </w:r>
      <w:r w:rsidR="007B13CC">
        <w:t xml:space="preserve"> to process</w:t>
      </w:r>
      <w:r w:rsidR="003C72DF">
        <w:t xml:space="preserve">, validate or authenticate </w:t>
      </w:r>
      <w:r w:rsidR="006F1BC1">
        <w:t>transactions</w:t>
      </w:r>
      <w:r w:rsidR="00DD18BA">
        <w:t xml:space="preserve">.  Once the </w:t>
      </w:r>
      <w:r w:rsidR="006F1BC1">
        <w:t>parties</w:t>
      </w:r>
      <w:r w:rsidR="00DD18BA">
        <w:t xml:space="preserve"> are agreed</w:t>
      </w:r>
      <w:r w:rsidR="0065503B">
        <w:t>,</w:t>
      </w:r>
      <w:r w:rsidR="0071648F">
        <w:t xml:space="preserve"> </w:t>
      </w:r>
      <w:r w:rsidR="006F1BC1">
        <w:t>the</w:t>
      </w:r>
      <w:r w:rsidR="0071648F">
        <w:t xml:space="preserve"> files</w:t>
      </w:r>
      <w:r w:rsidR="000F7FF6">
        <w:t xml:space="preserve"> viewable by the participants</w:t>
      </w:r>
      <w:r w:rsidR="0071648F">
        <w:t xml:space="preserve"> are time</w:t>
      </w:r>
      <w:r w:rsidR="006F1BC1">
        <w:t xml:space="preserve"> stamped and given a cryptographical signature</w:t>
      </w:r>
      <w:r w:rsidR="009A2C3E">
        <w:t xml:space="preserve"> creating</w:t>
      </w:r>
      <w:r w:rsidR="00DC70FC">
        <w:t xml:space="preserve"> a verifiable and auditable</w:t>
      </w:r>
      <w:r w:rsidR="004E5F87">
        <w:t xml:space="preserve"> history of all the stored information.</w:t>
      </w:r>
    </w:p>
    <w:p w14:paraId="374D1362" w14:textId="7AB64E52" w:rsidR="00BA7774" w:rsidRDefault="00B01DA9" w:rsidP="00720D65">
      <w:pPr>
        <w:pStyle w:val="BodyText"/>
      </w:pPr>
      <w:r>
        <w:t xml:space="preserve">Blockchain is </w:t>
      </w:r>
      <w:r w:rsidR="00374B37">
        <w:t xml:space="preserve">thus </w:t>
      </w:r>
      <w:r w:rsidR="00CF5330">
        <w:t xml:space="preserve">a </w:t>
      </w:r>
      <w:r w:rsidR="003C7ACC">
        <w:t xml:space="preserve">particular variety </w:t>
      </w:r>
      <w:r w:rsidR="006E0175">
        <w:t xml:space="preserve">of </w:t>
      </w:r>
      <w:r w:rsidR="00EA00D0">
        <w:t>DLT</w:t>
      </w:r>
      <w:r w:rsidR="006E0175">
        <w:t xml:space="preserve"> </w:t>
      </w:r>
      <w:r w:rsidR="003C7ACC">
        <w:t>arranged as a sequence of blocks</w:t>
      </w:r>
      <w:r w:rsidR="00162A0E">
        <w:t xml:space="preserve"> and is well-known because i</w:t>
      </w:r>
      <w:r w:rsidR="00A22484">
        <w:t>t is the technology behin</w:t>
      </w:r>
      <w:r w:rsidR="00E51924">
        <w:t>d</w:t>
      </w:r>
      <w:r w:rsidR="00A22484">
        <w:t xml:space="preserve"> </w:t>
      </w:r>
      <w:r w:rsidR="002142E1">
        <w:t>b</w:t>
      </w:r>
      <w:r w:rsidR="00A22484">
        <w:t>itcoin</w:t>
      </w:r>
      <w:r w:rsidR="000F7FF6">
        <w:t xml:space="preserve"> </w:t>
      </w:r>
      <w:r w:rsidR="00E51924">
        <w:t>and other cryptocurrencies</w:t>
      </w:r>
      <w:r w:rsidR="00471F96">
        <w:t>.  The blocks are</w:t>
      </w:r>
      <w:r w:rsidR="00C54BFC">
        <w:t xml:space="preserve"> established by </w:t>
      </w:r>
      <w:r w:rsidR="00597F6B">
        <w:t>‘</w:t>
      </w:r>
      <w:r w:rsidR="00C54BFC">
        <w:t>consensus mec</w:t>
      </w:r>
      <w:r w:rsidR="00F0027E">
        <w:t>h</w:t>
      </w:r>
      <w:r w:rsidR="00C54BFC">
        <w:t>anisms</w:t>
      </w:r>
      <w:r w:rsidR="00597F6B">
        <w:t>’</w:t>
      </w:r>
      <w:r w:rsidR="005115B6">
        <w:t>, of which</w:t>
      </w:r>
      <w:r w:rsidR="00F0027E" w:rsidRPr="00F0027E">
        <w:rPr>
          <w:rFonts w:ascii="Segoe UI" w:hAnsi="Segoe UI" w:cs="Segoe UI"/>
          <w:color w:val="000000"/>
          <w:szCs w:val="24"/>
        </w:rPr>
        <w:t xml:space="preserve"> </w:t>
      </w:r>
      <w:r w:rsidR="008A5AC4">
        <w:t>‘</w:t>
      </w:r>
      <w:r w:rsidR="004D1027">
        <w:t>p</w:t>
      </w:r>
      <w:r w:rsidR="00F0027E" w:rsidRPr="00F0027E">
        <w:t>roof of work</w:t>
      </w:r>
      <w:r w:rsidR="008A5AC4">
        <w:t>’</w:t>
      </w:r>
      <w:r w:rsidR="00F0027E" w:rsidRPr="00F0027E">
        <w:t xml:space="preserve"> and </w:t>
      </w:r>
      <w:r w:rsidR="008A5AC4">
        <w:t>‘</w:t>
      </w:r>
      <w:r w:rsidR="00F0027E" w:rsidRPr="00F0027E">
        <w:t>proof of stake</w:t>
      </w:r>
      <w:r w:rsidR="00B44CB5">
        <w:t>’</w:t>
      </w:r>
      <w:r w:rsidR="00F0027E" w:rsidRPr="00F0027E">
        <w:t xml:space="preserve"> are the two major mechanisms </w:t>
      </w:r>
      <w:r w:rsidR="00B00FC4" w:rsidRPr="00F0027E">
        <w:t>us</w:t>
      </w:r>
      <w:r w:rsidR="00B00FC4">
        <w:t>e</w:t>
      </w:r>
      <w:r w:rsidR="00B00FC4" w:rsidRPr="00F0027E">
        <w:t>d</w:t>
      </w:r>
      <w:r w:rsidR="00F0027E" w:rsidRPr="00F0027E">
        <w:t xml:space="preserve"> to verify new transactions, add them to the blockchain, and create new tokens.</w:t>
      </w:r>
    </w:p>
    <w:p w14:paraId="10994542" w14:textId="4CCB02C1" w:rsidR="003E20EB" w:rsidRDefault="00F0027E" w:rsidP="00720D65">
      <w:pPr>
        <w:pStyle w:val="BodyText"/>
      </w:pPr>
      <w:r w:rsidRPr="00F0027E">
        <w:t xml:space="preserve">Proof of work, pioneered by </w:t>
      </w:r>
      <w:r w:rsidR="00BA7774">
        <w:t>b</w:t>
      </w:r>
      <w:r w:rsidRPr="00F0027E">
        <w:t xml:space="preserve">itcoin, uses </w:t>
      </w:r>
      <w:r w:rsidR="00597F6B">
        <w:t>‘</w:t>
      </w:r>
      <w:r w:rsidRPr="00F0027E">
        <w:t>mining</w:t>
      </w:r>
      <w:r w:rsidR="00597F6B">
        <w:t>’</w:t>
      </w:r>
      <w:r w:rsidRPr="00F0027E">
        <w:t xml:space="preserve"> to achieve those goals.</w:t>
      </w:r>
      <w:r w:rsidR="004E1BA9">
        <w:t xml:space="preserve">  </w:t>
      </w:r>
      <w:r w:rsidRPr="00F0027E">
        <w:t xml:space="preserve"> Proof of </w:t>
      </w:r>
      <w:r w:rsidR="004E1BA9">
        <w:t>work</w:t>
      </w:r>
      <w:r w:rsidR="00E31E75">
        <w:t xml:space="preserve"> inv</w:t>
      </w:r>
      <w:r w:rsidR="001D6B41">
        <w:t xml:space="preserve">olves </w:t>
      </w:r>
      <w:r w:rsidR="00B72AC5" w:rsidRPr="00B72AC5">
        <w:t>verif</w:t>
      </w:r>
      <w:r w:rsidR="00B72AC5">
        <w:t>ication</w:t>
      </w:r>
      <w:r w:rsidR="00B72AC5" w:rsidRPr="00B72AC5">
        <w:t xml:space="preserve"> by virtual miners around the world </w:t>
      </w:r>
      <w:r w:rsidR="005C4087">
        <w:t>competing</w:t>
      </w:r>
      <w:r w:rsidR="00B72AC5" w:rsidRPr="00B72AC5">
        <w:t xml:space="preserve"> to be the first to solve a math</w:t>
      </w:r>
      <w:r w:rsidR="005C4087">
        <w:t>ematical</w:t>
      </w:r>
      <w:r w:rsidR="00B72AC5" w:rsidRPr="00B72AC5">
        <w:t xml:space="preserve"> puzzle. The winner</w:t>
      </w:r>
      <w:r w:rsidR="004021AE">
        <w:t xml:space="preserve"> </w:t>
      </w:r>
      <w:r w:rsidR="00B72AC5" w:rsidRPr="00B72AC5">
        <w:t>update</w:t>
      </w:r>
      <w:r w:rsidR="004021AE">
        <w:t>s</w:t>
      </w:r>
      <w:r w:rsidR="00B72AC5" w:rsidRPr="00B72AC5">
        <w:t xml:space="preserve"> the blockchain with the latest verified transactions and is rewarded by the network with a predetermined amount of crypto</w:t>
      </w:r>
      <w:r w:rsidR="004021AE">
        <w:t>currency</w:t>
      </w:r>
      <w:r w:rsidR="000C56F9">
        <w:t>.  It is energy intensive.</w:t>
      </w:r>
    </w:p>
    <w:p w14:paraId="3227067C" w14:textId="055DCF76" w:rsidR="0097577D" w:rsidRDefault="009D74D2" w:rsidP="00AB7393">
      <w:pPr>
        <w:pStyle w:val="BodyText"/>
      </w:pPr>
      <w:r>
        <w:t>P</w:t>
      </w:r>
      <w:r w:rsidR="0097577D" w:rsidRPr="0097577D">
        <w:t xml:space="preserve">roof of stake blockchains employ a network of </w:t>
      </w:r>
      <w:r w:rsidR="00D60E48">
        <w:t>‘</w:t>
      </w:r>
      <w:r w:rsidR="0097577D" w:rsidRPr="0097577D">
        <w:t>validators</w:t>
      </w:r>
      <w:r w:rsidR="00D60E48">
        <w:t>’</w:t>
      </w:r>
      <w:r w:rsidR="0097577D" w:rsidRPr="0097577D">
        <w:t xml:space="preserve"> who contribute</w:t>
      </w:r>
      <w:r>
        <w:t>,</w:t>
      </w:r>
      <w:r w:rsidR="0097577D" w:rsidRPr="0097577D">
        <w:t xml:space="preserve"> or </w:t>
      </w:r>
      <w:r w:rsidR="00D60E48">
        <w:t>‘</w:t>
      </w:r>
      <w:r w:rsidR="0097577D" w:rsidRPr="0097577D">
        <w:t>stake</w:t>
      </w:r>
      <w:r w:rsidR="00D60E48">
        <w:t>’</w:t>
      </w:r>
      <w:r w:rsidR="008B2E48">
        <w:t xml:space="preserve">, </w:t>
      </w:r>
      <w:r w:rsidR="006E4A27" w:rsidRPr="0097577D">
        <w:t>their own</w:t>
      </w:r>
      <w:r w:rsidR="0097577D" w:rsidRPr="0097577D">
        <w:t xml:space="preserve"> </w:t>
      </w:r>
      <w:r w:rsidR="006E4A27">
        <w:t>c</w:t>
      </w:r>
      <w:r w:rsidR="006E4A27" w:rsidRPr="0097577D">
        <w:t>rypto</w:t>
      </w:r>
      <w:r w:rsidR="006E4A27">
        <w:t>assets</w:t>
      </w:r>
      <w:r w:rsidR="0097577D" w:rsidRPr="0097577D">
        <w:t xml:space="preserve"> in exchange for a chance of getting to validate new transaction, update the blockchain, and earn a reward. The network selects a winner based on the amount of crypto</w:t>
      </w:r>
      <w:r w:rsidR="004E32C6">
        <w:t>assets</w:t>
      </w:r>
      <w:r w:rsidR="0097577D" w:rsidRPr="0097577D">
        <w:t xml:space="preserve"> each validator has in the pool and the length of time they</w:t>
      </w:r>
      <w:r w:rsidR="006E4A27">
        <w:t xml:space="preserve"> have held it</w:t>
      </w:r>
      <w:r w:rsidR="00C40394">
        <w:t xml:space="preserve">.  </w:t>
      </w:r>
      <w:r w:rsidR="0097577D" w:rsidRPr="0097577D">
        <w:t>Once the winner has validated the latest block of transactions, other validators can attest that the block is accurate</w:t>
      </w:r>
      <w:r w:rsidR="0065574A">
        <w:t xml:space="preserve">.  It is less energy intensive and </w:t>
      </w:r>
      <w:r w:rsidR="00740FB6">
        <w:t xml:space="preserve">more </w:t>
      </w:r>
      <w:r w:rsidR="00732EED">
        <w:t>scalable</w:t>
      </w:r>
      <w:r w:rsidR="00416890">
        <w:t xml:space="preserve"> than proof of work</w:t>
      </w:r>
      <w:r w:rsidR="007822BC">
        <w:t>.</w:t>
      </w:r>
    </w:p>
    <w:p w14:paraId="663B2345" w14:textId="4D9CB91E" w:rsidR="00C406D4" w:rsidRDefault="001D7492" w:rsidP="00AB7393">
      <w:pPr>
        <w:pStyle w:val="BodyText"/>
      </w:pPr>
      <w:r>
        <w:t>This explanation is intended to demonstrate that</w:t>
      </w:r>
      <w:r w:rsidR="001F6E3D">
        <w:t xml:space="preserve"> the technology is apt to get in the way</w:t>
      </w:r>
      <w:r w:rsidR="00273FFA">
        <w:t xml:space="preserve"> of the fact that distributed ledger is just a recording mechanism</w:t>
      </w:r>
      <w:r w:rsidR="00407BBE">
        <w:t xml:space="preserve">, a modern secure way </w:t>
      </w:r>
      <w:r w:rsidR="00407BBE">
        <w:lastRenderedPageBreak/>
        <w:t>of</w:t>
      </w:r>
      <w:r w:rsidR="00BA0CEC">
        <w:t xml:space="preserve"> achieving the same result as a </w:t>
      </w:r>
      <w:r w:rsidR="00383296">
        <w:t>share certificate or bond</w:t>
      </w:r>
      <w:r w:rsidR="004C7F20">
        <w:t xml:space="preserve"> security</w:t>
      </w:r>
      <w:r w:rsidR="00D01A85">
        <w:t xml:space="preserve"> document</w:t>
      </w:r>
      <w:r w:rsidR="00092F2D">
        <w:t xml:space="preserve"> does in relation to</w:t>
      </w:r>
      <w:r w:rsidR="00732EED">
        <w:t xml:space="preserve"> equity interests and debt.</w:t>
      </w:r>
      <w:r w:rsidR="00287D83">
        <w:t xml:space="preserve">  </w:t>
      </w:r>
      <w:r w:rsidR="00A47D3E">
        <w:t xml:space="preserve">The term </w:t>
      </w:r>
      <w:r w:rsidR="005F7698">
        <w:t>‘</w:t>
      </w:r>
      <w:r w:rsidR="00A47D3E">
        <w:t>non-fungible token</w:t>
      </w:r>
      <w:r w:rsidR="005F7698">
        <w:t>’</w:t>
      </w:r>
      <w:r w:rsidR="006415FE">
        <w:t>,</w:t>
      </w:r>
      <w:r w:rsidR="00A47D3E">
        <w:t xml:space="preserve"> or NFT</w:t>
      </w:r>
      <w:r w:rsidR="006415FE">
        <w:t>,</w:t>
      </w:r>
      <w:r w:rsidR="00C43DD6">
        <w:t xml:space="preserve"> is</w:t>
      </w:r>
      <w:r w:rsidR="006415FE">
        <w:t xml:space="preserve"> </w:t>
      </w:r>
      <w:r w:rsidR="00C43DD6">
        <w:t>applied to a financial security stored in a blockchain</w:t>
      </w:r>
      <w:r w:rsidR="008B6912">
        <w:t>, and also to other</w:t>
      </w:r>
      <w:r w:rsidR="005D2997">
        <w:t xml:space="preserve"> content </w:t>
      </w:r>
      <w:r w:rsidR="00FA0476">
        <w:t>that can be di</w:t>
      </w:r>
      <w:r w:rsidR="00E141C8">
        <w:t xml:space="preserve">gitised </w:t>
      </w:r>
      <w:r w:rsidR="005D2997">
        <w:t>such as artworks and music.</w:t>
      </w:r>
      <w:r w:rsidR="00AF1737">
        <w:t xml:space="preserve">  The law in this area is still developing</w:t>
      </w:r>
      <w:r w:rsidR="00055C5E">
        <w:rPr>
          <w:rStyle w:val="FootnoteReference"/>
        </w:rPr>
        <w:footnoteReference w:id="47"/>
      </w:r>
      <w:r w:rsidR="00A04624">
        <w:t xml:space="preserve"> and there are arguments that</w:t>
      </w:r>
      <w:r w:rsidR="00F51731">
        <w:t xml:space="preserve"> the token is separate from an underlying asset</w:t>
      </w:r>
      <w:r w:rsidR="0023292D">
        <w:t>, more like a depository receipt.</w:t>
      </w:r>
    </w:p>
    <w:p w14:paraId="260AF024" w14:textId="7B36530D" w:rsidR="00BF123A" w:rsidRDefault="00C406D4" w:rsidP="00AB7393">
      <w:pPr>
        <w:pStyle w:val="BodyText"/>
      </w:pPr>
      <w:r>
        <w:t>T</w:t>
      </w:r>
      <w:r w:rsidR="00287D83">
        <w:t>he technology can be applied to a</w:t>
      </w:r>
      <w:r w:rsidR="001A74CF">
        <w:t xml:space="preserve"> </w:t>
      </w:r>
      <w:r w:rsidR="003F73F7">
        <w:t>variety of different uses.</w:t>
      </w:r>
      <w:r w:rsidR="00BC0CDE">
        <w:t xml:space="preserve">  The FCA defines</w:t>
      </w:r>
      <w:r w:rsidR="00DA5CEA">
        <w:t xml:space="preserve"> two clas</w:t>
      </w:r>
      <w:r w:rsidR="0061694B">
        <w:t>s</w:t>
      </w:r>
      <w:r w:rsidR="00DA5CEA">
        <w:t>es of re</w:t>
      </w:r>
      <w:r w:rsidR="0061694B">
        <w:t xml:space="preserve">gulated tokens, </w:t>
      </w:r>
      <w:r w:rsidR="00CE2E8C">
        <w:t>‘</w:t>
      </w:r>
      <w:r w:rsidR="0061694B">
        <w:t>security tokens</w:t>
      </w:r>
      <w:r w:rsidR="00CE2E8C">
        <w:t>’</w:t>
      </w:r>
      <w:r w:rsidR="0061694B">
        <w:t xml:space="preserve"> and </w:t>
      </w:r>
      <w:r w:rsidR="00373119">
        <w:t>‘</w:t>
      </w:r>
      <w:r w:rsidR="000F1F45">
        <w:t>e-money tokens</w:t>
      </w:r>
      <w:r w:rsidR="00373119">
        <w:t>’</w:t>
      </w:r>
      <w:r w:rsidR="000F1F45">
        <w:t>.  Any other</w:t>
      </w:r>
      <w:r w:rsidR="005037D3">
        <w:t>s</w:t>
      </w:r>
      <w:r w:rsidR="000F1F45">
        <w:t xml:space="preserve"> are un</w:t>
      </w:r>
      <w:r w:rsidR="006922AD">
        <w:t>-</w:t>
      </w:r>
      <w:r w:rsidR="000F1F45">
        <w:t>regulated and this includes</w:t>
      </w:r>
      <w:r w:rsidR="005037D3">
        <w:t xml:space="preserve"> </w:t>
      </w:r>
      <w:r w:rsidR="00CE2E8C">
        <w:t>‘</w:t>
      </w:r>
      <w:r w:rsidR="005037D3">
        <w:t>utility tokens</w:t>
      </w:r>
      <w:r w:rsidR="00702D31">
        <w:t>’</w:t>
      </w:r>
      <w:r w:rsidR="007822BC">
        <w:t>,</w:t>
      </w:r>
      <w:r w:rsidR="005B17AE">
        <w:t xml:space="preserve"> which can be redeemed</w:t>
      </w:r>
      <w:r w:rsidR="00810E60">
        <w:t xml:space="preserve"> for access to a specific product or service</w:t>
      </w:r>
      <w:r w:rsidR="0068470D">
        <w:t xml:space="preserve"> that is typically provided using a DLT platform</w:t>
      </w:r>
      <w:r w:rsidR="00831D44">
        <w:t>, artworks being one example</w:t>
      </w:r>
      <w:r w:rsidR="0068470D">
        <w:t>.</w:t>
      </w:r>
      <w:r w:rsidR="009E2FE5">
        <w:t xml:space="preserve">  </w:t>
      </w:r>
      <w:r w:rsidR="00461739">
        <w:t>Cryptocurrencies (</w:t>
      </w:r>
      <w:r w:rsidR="00061466">
        <w:t xml:space="preserve">or </w:t>
      </w:r>
      <w:r w:rsidR="00810F7D">
        <w:t>‘</w:t>
      </w:r>
      <w:r w:rsidR="00061466">
        <w:t>payment tokens</w:t>
      </w:r>
      <w:r w:rsidR="00810F7D">
        <w:t>’</w:t>
      </w:r>
      <w:r w:rsidR="006767FB">
        <w:t xml:space="preserve"> or</w:t>
      </w:r>
      <w:r w:rsidR="00B86908">
        <w:t xml:space="preserve"> </w:t>
      </w:r>
      <w:r w:rsidR="00810F7D">
        <w:t>‘</w:t>
      </w:r>
      <w:r w:rsidR="009B0A00">
        <w:t>exchange</w:t>
      </w:r>
      <w:r w:rsidR="00B86908">
        <w:t xml:space="preserve"> tokens</w:t>
      </w:r>
      <w:r w:rsidR="00810F7D">
        <w:t>’</w:t>
      </w:r>
      <w:r w:rsidR="00061466">
        <w:t xml:space="preserve">) </w:t>
      </w:r>
      <w:r w:rsidR="009E2FE5">
        <w:t>also</w:t>
      </w:r>
      <w:r w:rsidR="00121DD1">
        <w:t xml:space="preserve"> fall into the unregulated category</w:t>
      </w:r>
      <w:r w:rsidR="001324CB">
        <w:t xml:space="preserve"> unless</w:t>
      </w:r>
      <w:r w:rsidR="00811149">
        <w:t xml:space="preserve"> they are designed to maintain a </w:t>
      </w:r>
      <w:r w:rsidR="001A271A">
        <w:t>stable relationship</w:t>
      </w:r>
      <w:r w:rsidR="00136128">
        <w:t xml:space="preserve"> to one currency</w:t>
      </w:r>
      <w:r w:rsidR="0058795B">
        <w:t xml:space="preserve"> and are </w:t>
      </w:r>
      <w:r w:rsidR="00BF123A">
        <w:t xml:space="preserve">thus </w:t>
      </w:r>
      <w:r w:rsidR="0058795B">
        <w:t>e-money tokens</w:t>
      </w:r>
      <w:r w:rsidR="00121DD1">
        <w:t>.</w:t>
      </w:r>
    </w:p>
    <w:p w14:paraId="398FF59A" w14:textId="44F7BCE7" w:rsidR="001D7492" w:rsidRDefault="00BF123A" w:rsidP="00AB7393">
      <w:pPr>
        <w:pStyle w:val="BodyText"/>
      </w:pPr>
      <w:r>
        <w:t xml:space="preserve">Cryptocurrency </w:t>
      </w:r>
      <w:r w:rsidR="00856C4C">
        <w:t xml:space="preserve">proponents view </w:t>
      </w:r>
      <w:r w:rsidR="00BD3665">
        <w:t xml:space="preserve">cryptocurrencies </w:t>
      </w:r>
      <w:r w:rsidR="00856C4C">
        <w:t>as</w:t>
      </w:r>
      <w:r w:rsidR="00866A98">
        <w:t xml:space="preserve"> money, as they rather imperfectly</w:t>
      </w:r>
      <w:r w:rsidR="00A7251A">
        <w:t xml:space="preserve"> reflect the three characteristics </w:t>
      </w:r>
      <w:r w:rsidR="000E1037">
        <w:t xml:space="preserve">generally </w:t>
      </w:r>
      <w:r w:rsidR="00E02014">
        <w:t>attributed to currencies</w:t>
      </w:r>
      <w:r w:rsidR="0021325E">
        <w:t xml:space="preserve"> and money</w:t>
      </w:r>
      <w:r w:rsidR="00A7251A">
        <w:t>, store of value</w:t>
      </w:r>
      <w:r w:rsidR="004A215A">
        <w:t xml:space="preserve">, means of exchange and unit of account.  They are </w:t>
      </w:r>
      <w:r w:rsidR="00072AE8">
        <w:t>imperfect</w:t>
      </w:r>
      <w:r w:rsidR="004A215A">
        <w:t xml:space="preserve"> because of t</w:t>
      </w:r>
      <w:r w:rsidR="00072AE8">
        <w:t xml:space="preserve">heir volatility and </w:t>
      </w:r>
      <w:r w:rsidR="00FF2023">
        <w:t xml:space="preserve">some </w:t>
      </w:r>
      <w:r w:rsidR="00072AE8">
        <w:t>critics</w:t>
      </w:r>
      <w:r w:rsidR="003A2129">
        <w:t xml:space="preserve"> view the</w:t>
      </w:r>
      <w:r w:rsidR="00236339">
        <w:t>m</w:t>
      </w:r>
      <w:r w:rsidR="003A2129">
        <w:t xml:space="preserve"> as little better than a Ponzi scheme</w:t>
      </w:r>
      <w:r w:rsidR="00807B85">
        <w:t xml:space="preserve">, </w:t>
      </w:r>
      <w:r w:rsidR="00DE7886">
        <w:t xml:space="preserve">suggested by one authority to be </w:t>
      </w:r>
      <w:r w:rsidR="00050B53">
        <w:t>‘</w:t>
      </w:r>
      <w:r w:rsidR="00807B85">
        <w:t>speculat</w:t>
      </w:r>
      <w:r w:rsidR="004614A5">
        <w:t>ive assets</w:t>
      </w:r>
      <w:r w:rsidR="00B36DB0">
        <w:t xml:space="preserve"> </w:t>
      </w:r>
      <w:r w:rsidR="00B72BD7">
        <w:t>that can cause</w:t>
      </w:r>
      <w:r w:rsidR="00B36DB0">
        <w:t xml:space="preserve"> major damage to s</w:t>
      </w:r>
      <w:r w:rsidR="00050B53">
        <w:t>o</w:t>
      </w:r>
      <w:r w:rsidR="00B36DB0">
        <w:t>ciety</w:t>
      </w:r>
      <w:r w:rsidR="00050B53">
        <w:t>’</w:t>
      </w:r>
      <w:r w:rsidR="003A2129">
        <w:t>.</w:t>
      </w:r>
      <w:r w:rsidR="00ED3C89">
        <w:rPr>
          <w:rStyle w:val="FootnoteReference"/>
        </w:rPr>
        <w:footnoteReference w:id="48"/>
      </w:r>
    </w:p>
    <w:p w14:paraId="6C3FBC6B" w14:textId="50F61044" w:rsidR="00861498" w:rsidRDefault="00D07D80" w:rsidP="00AB7393">
      <w:pPr>
        <w:pStyle w:val="BodyText"/>
      </w:pPr>
      <w:r>
        <w:t>There is considerable tension between</w:t>
      </w:r>
      <w:r w:rsidR="0017537C">
        <w:t xml:space="preserve"> the</w:t>
      </w:r>
      <w:r w:rsidR="009578B0">
        <w:t xml:space="preserve"> c</w:t>
      </w:r>
      <w:r w:rsidR="00D63E4F">
        <w:t xml:space="preserve">rypto firms, some of whom </w:t>
      </w:r>
      <w:r w:rsidR="00DC5BCD">
        <w:t>declare aspiration</w:t>
      </w:r>
      <w:r w:rsidR="00080119">
        <w:t xml:space="preserve"> to a libertarian</w:t>
      </w:r>
      <w:r w:rsidR="00D75496">
        <w:t xml:space="preserve"> Utopia</w:t>
      </w:r>
      <w:r w:rsidR="00CE5BFC">
        <w:t xml:space="preserve"> where</w:t>
      </w:r>
      <w:r w:rsidR="009C0317">
        <w:t xml:space="preserve"> blockchains remove the need for financial </w:t>
      </w:r>
      <w:r w:rsidR="00AD3C7C">
        <w:t>intermediaries and regulators</w:t>
      </w:r>
      <w:r w:rsidR="00063CE8">
        <w:t xml:space="preserve">, and the regulators themselves </w:t>
      </w:r>
      <w:r w:rsidR="006849B1">
        <w:t>who see dangers</w:t>
      </w:r>
      <w:r w:rsidR="00AD469A">
        <w:t xml:space="preserve"> from money laundering, </w:t>
      </w:r>
      <w:r w:rsidR="008F18ED">
        <w:t>to tax systems, and</w:t>
      </w:r>
      <w:r w:rsidR="00541F39">
        <w:t xml:space="preserve"> to financial regulation,</w:t>
      </w:r>
      <w:r w:rsidR="006B5A67">
        <w:t xml:space="preserve"> including investor protection,</w:t>
      </w:r>
      <w:r w:rsidR="0051007D">
        <w:t xml:space="preserve"> systemic risk and</w:t>
      </w:r>
      <w:r w:rsidR="007A7521">
        <w:t xml:space="preserve"> fair market competition.</w:t>
      </w:r>
      <w:r w:rsidR="004F64EE">
        <w:t xml:space="preserve">  Intensive lobbying </w:t>
      </w:r>
      <w:r w:rsidR="00176129">
        <w:t>has resulted.</w:t>
      </w:r>
      <w:r w:rsidR="00176129">
        <w:rPr>
          <w:rStyle w:val="FootnoteReference"/>
        </w:rPr>
        <w:footnoteReference w:id="49"/>
      </w:r>
      <w:r w:rsidR="001350DB">
        <w:t xml:space="preserve">  At the time of writing</w:t>
      </w:r>
      <w:r w:rsidR="002B1D99">
        <w:t>, the OECD</w:t>
      </w:r>
      <w:r w:rsidR="005C7B8F">
        <w:t xml:space="preserve"> </w:t>
      </w:r>
      <w:r w:rsidR="00941EAF">
        <w:t>(</w:t>
      </w:r>
      <w:r w:rsidR="0082618F">
        <w:t>Organization for Economic Cooperation and Development)</w:t>
      </w:r>
      <w:r w:rsidR="00E52C6E">
        <w:t xml:space="preserve"> </w:t>
      </w:r>
      <w:r w:rsidR="005C7B8F">
        <w:t>is developing a</w:t>
      </w:r>
      <w:r w:rsidR="00B91F80" w:rsidRPr="00B91F80">
        <w:t xml:space="preserve"> </w:t>
      </w:r>
      <w:r w:rsidR="007B697A">
        <w:t>C</w:t>
      </w:r>
      <w:r w:rsidR="00B91F80" w:rsidRPr="00B91F80">
        <w:t>rypto</w:t>
      </w:r>
      <w:r w:rsidR="00DE699E">
        <w:t>assets</w:t>
      </w:r>
      <w:r w:rsidR="00DE699E">
        <w:rPr>
          <w:b/>
          <w:bCs/>
        </w:rPr>
        <w:t xml:space="preserve"> </w:t>
      </w:r>
      <w:r w:rsidR="007B697A">
        <w:t>R</w:t>
      </w:r>
      <w:r w:rsidR="00DE699E" w:rsidRPr="003F31C0">
        <w:t>ep</w:t>
      </w:r>
      <w:r w:rsidR="003F31C0">
        <w:t>orting</w:t>
      </w:r>
      <w:r w:rsidR="00B91F80" w:rsidRPr="00B91F80">
        <w:t> </w:t>
      </w:r>
      <w:r w:rsidR="007B697A">
        <w:t>F</w:t>
      </w:r>
      <w:r w:rsidR="00B91F80" w:rsidRPr="00B91F80">
        <w:t xml:space="preserve">ramework (the </w:t>
      </w:r>
      <w:r w:rsidR="00AB6197">
        <w:t>‘</w:t>
      </w:r>
      <w:r w:rsidR="00B91F80" w:rsidRPr="00B91F80">
        <w:t>CARF</w:t>
      </w:r>
      <w:r w:rsidR="00AB6197">
        <w:t>’</w:t>
      </w:r>
      <w:r w:rsidR="00B91F80" w:rsidRPr="00B91F80">
        <w:t xml:space="preserve">), designed to ensure the collection and exchange of information on transactions in </w:t>
      </w:r>
      <w:r w:rsidR="007664D1">
        <w:t>cryptoassets</w:t>
      </w:r>
      <w:r w:rsidR="00A52F10">
        <w:t>.</w:t>
      </w:r>
      <w:r w:rsidR="003F7A71">
        <w:rPr>
          <w:rStyle w:val="FootnoteReference"/>
        </w:rPr>
        <w:footnoteReference w:id="50"/>
      </w:r>
    </w:p>
    <w:p w14:paraId="0731403C" w14:textId="06CE1818" w:rsidR="003C372C" w:rsidRDefault="00A42BD3" w:rsidP="00AB7393">
      <w:pPr>
        <w:pStyle w:val="BodyText"/>
      </w:pPr>
      <w:r>
        <w:t>Regulators have been considering whether</w:t>
      </w:r>
      <w:r w:rsidR="001B212B">
        <w:t xml:space="preserve"> and which </w:t>
      </w:r>
      <w:r w:rsidR="007023B6">
        <w:t>cryptoassets</w:t>
      </w:r>
      <w:r w:rsidR="001B212B">
        <w:t xml:space="preserve"> count as securities</w:t>
      </w:r>
      <w:r w:rsidR="00F42FFB">
        <w:t xml:space="preserve">, which </w:t>
      </w:r>
      <w:r w:rsidR="00DA743D">
        <w:t>carry strong disclosure</w:t>
      </w:r>
      <w:r w:rsidR="00310103">
        <w:t xml:space="preserve">s by issuers, </w:t>
      </w:r>
      <w:r w:rsidR="00E86822">
        <w:t>as commodities</w:t>
      </w:r>
      <w:r w:rsidR="00E1752F">
        <w:t>,</w:t>
      </w:r>
      <w:r w:rsidR="00E86822">
        <w:t xml:space="preserve"> which are regulated more lightly </w:t>
      </w:r>
      <w:r w:rsidR="0060525D">
        <w:t>focusing on</w:t>
      </w:r>
      <w:r w:rsidR="006F0729">
        <w:t xml:space="preserve"> the prevention</w:t>
      </w:r>
      <w:r w:rsidR="001D6662">
        <w:t xml:space="preserve"> market manipulation</w:t>
      </w:r>
      <w:r w:rsidR="00886918">
        <w:t>, or as cryptocurrencies</w:t>
      </w:r>
      <w:r w:rsidR="001E5ABB">
        <w:t>.</w:t>
      </w:r>
      <w:r w:rsidR="00085E0F">
        <w:t xml:space="preserve">  </w:t>
      </w:r>
      <w:r w:rsidR="00E1752F">
        <w:t>So-called stable</w:t>
      </w:r>
      <w:r w:rsidR="00587173">
        <w:t>coins are a particular issue</w:t>
      </w:r>
      <w:r w:rsidR="001E5ABB">
        <w:t xml:space="preserve">.  These are supposed to </w:t>
      </w:r>
      <w:r w:rsidR="009242F7">
        <w:t xml:space="preserve">track </w:t>
      </w:r>
      <w:r w:rsidR="00FA1D0C">
        <w:t>something stable</w:t>
      </w:r>
      <w:r w:rsidR="007C0FA6">
        <w:t xml:space="preserve">, generally </w:t>
      </w:r>
      <w:r w:rsidR="009242F7">
        <w:t>the dollar</w:t>
      </w:r>
      <w:r w:rsidR="00F4797B">
        <w:t xml:space="preserve"> or </w:t>
      </w:r>
      <w:r w:rsidR="007C0FA6">
        <w:t>an</w:t>
      </w:r>
      <w:r w:rsidR="00F4797B">
        <w:t>other hard currenc</w:t>
      </w:r>
      <w:r w:rsidR="007C0FA6">
        <w:t>y</w:t>
      </w:r>
      <w:r w:rsidR="003B2AE9">
        <w:t xml:space="preserve">, but </w:t>
      </w:r>
      <w:r w:rsidR="00A1269F">
        <w:t xml:space="preserve">in </w:t>
      </w:r>
      <w:r w:rsidR="00D45B76">
        <w:t xml:space="preserve">May </w:t>
      </w:r>
      <w:r w:rsidR="00A1269F">
        <w:t>2022</w:t>
      </w:r>
      <w:r w:rsidR="003B2AE9">
        <w:t xml:space="preserve"> a </w:t>
      </w:r>
      <w:r w:rsidR="009F1F98">
        <w:t>stablecoin called</w:t>
      </w:r>
      <w:r w:rsidR="001D59DB">
        <w:t xml:space="preserve"> terraUSD</w:t>
      </w:r>
      <w:r w:rsidR="00F4797B">
        <w:t xml:space="preserve"> </w:t>
      </w:r>
      <w:r w:rsidR="0088064F">
        <w:t>lost</w:t>
      </w:r>
      <w:r w:rsidR="00574CF2">
        <w:t xml:space="preserve"> value</w:t>
      </w:r>
      <w:r w:rsidR="00DD447B">
        <w:t xml:space="preserve"> in spite of its dollar tracking</w:t>
      </w:r>
      <w:r w:rsidR="00942CE5">
        <w:t xml:space="preserve"> after luna, an affiliated</w:t>
      </w:r>
      <w:r w:rsidR="009F2DA4">
        <w:t xml:space="preserve"> token</w:t>
      </w:r>
      <w:r w:rsidR="00CD24D9">
        <w:t xml:space="preserve"> which </w:t>
      </w:r>
      <w:r w:rsidR="00291144">
        <w:t>terra algorithmically tracked</w:t>
      </w:r>
      <w:r w:rsidR="009D0DA1">
        <w:rPr>
          <w:rStyle w:val="FootnoteReference"/>
        </w:rPr>
        <w:footnoteReference w:id="51"/>
      </w:r>
      <w:r w:rsidR="00BB2389">
        <w:t>,</w:t>
      </w:r>
      <w:r w:rsidR="009F2DA4">
        <w:t xml:space="preserve"> collapsed in value</w:t>
      </w:r>
      <w:r w:rsidR="00DD447B">
        <w:t>.</w:t>
      </w:r>
      <w:r w:rsidR="006E2BEE">
        <w:t xml:space="preserve">  </w:t>
      </w:r>
      <w:r w:rsidR="006142FD">
        <w:t>Moreover, t</w:t>
      </w:r>
      <w:r w:rsidR="006E2BEE">
        <w:t xml:space="preserve">he largest stablecoin </w:t>
      </w:r>
      <w:r w:rsidR="0053415F">
        <w:t xml:space="preserve">called </w:t>
      </w:r>
      <w:r w:rsidR="00A85E3C">
        <w:lastRenderedPageBreak/>
        <w:t>t</w:t>
      </w:r>
      <w:r w:rsidR="00DE5409">
        <w:t xml:space="preserve">ether </w:t>
      </w:r>
      <w:r w:rsidR="006B6B5A">
        <w:t xml:space="preserve">temporarily </w:t>
      </w:r>
      <w:r w:rsidR="00DE5409">
        <w:t xml:space="preserve">failed to maintain parity and </w:t>
      </w:r>
      <w:r w:rsidR="00072C84">
        <w:t>‘</w:t>
      </w:r>
      <w:r w:rsidR="00DE5409">
        <w:t>broke the buck</w:t>
      </w:r>
      <w:r w:rsidR="00072C84">
        <w:t>’</w:t>
      </w:r>
      <w:r w:rsidR="00637F0E">
        <w:t xml:space="preserve">, falling to </w:t>
      </w:r>
      <w:r w:rsidR="00EB4C79">
        <w:t>95.11 cents</w:t>
      </w:r>
      <w:r w:rsidR="001926E0">
        <w:t xml:space="preserve"> on the dollar</w:t>
      </w:r>
      <w:r w:rsidR="006B6B5A">
        <w:t>, although it apparently</w:t>
      </w:r>
      <w:r w:rsidR="003A1D7D">
        <w:t xml:space="preserve"> continued to redee</w:t>
      </w:r>
      <w:r w:rsidR="00841583">
        <w:t xml:space="preserve">m </w:t>
      </w:r>
      <w:r w:rsidR="003A1D7D">
        <w:t xml:space="preserve">at par when </w:t>
      </w:r>
      <w:r w:rsidR="0067366C">
        <w:t>called</w:t>
      </w:r>
      <w:r w:rsidR="00864F27">
        <w:t>.</w:t>
      </w:r>
      <w:r w:rsidR="00A91BAF">
        <w:rPr>
          <w:rStyle w:val="FootnoteReference"/>
        </w:rPr>
        <w:footnoteReference w:id="52"/>
      </w:r>
    </w:p>
    <w:p w14:paraId="2CFA6B9B" w14:textId="36125842" w:rsidR="00D07D80" w:rsidRDefault="00C27651" w:rsidP="00AB7393">
      <w:pPr>
        <w:pStyle w:val="BodyText"/>
      </w:pPr>
      <w:r>
        <w:t>One a</w:t>
      </w:r>
      <w:r w:rsidR="00B538FE">
        <w:t>uthority, formerly chair</w:t>
      </w:r>
      <w:r w:rsidR="007949C9">
        <w:t xml:space="preserve"> of the Federal Deposit </w:t>
      </w:r>
      <w:r w:rsidR="001E73BF">
        <w:t xml:space="preserve">Insurance </w:t>
      </w:r>
      <w:r w:rsidR="007949C9">
        <w:t>Corporation</w:t>
      </w:r>
      <w:r w:rsidR="001E73BF">
        <w:t xml:space="preserve"> of the United States</w:t>
      </w:r>
      <w:r w:rsidR="00825ABA">
        <w:t>,</w:t>
      </w:r>
      <w:r w:rsidR="00F66D3C">
        <w:t xml:space="preserve"> has called for</w:t>
      </w:r>
      <w:r w:rsidR="00825ABA">
        <w:t xml:space="preserve"> regulation if stable</w:t>
      </w:r>
      <w:r w:rsidR="00795D6F">
        <w:t xml:space="preserve">coins, </w:t>
      </w:r>
      <w:r w:rsidR="00042929">
        <w:t>one possibility being</w:t>
      </w:r>
      <w:r w:rsidR="00F45426">
        <w:t xml:space="preserve"> for the </w:t>
      </w:r>
      <w:r w:rsidR="00870A21">
        <w:t>Securities and Exchange Commission</w:t>
      </w:r>
      <w:r w:rsidR="00A42F2D">
        <w:t>, although this would require</w:t>
      </w:r>
      <w:r w:rsidR="00281EFC">
        <w:t xml:space="preserve"> the SEC to view stablecoins as securities</w:t>
      </w:r>
      <w:r w:rsidR="00A0051F">
        <w:t xml:space="preserve">, which would </w:t>
      </w:r>
      <w:r w:rsidR="00801BD6">
        <w:t xml:space="preserve">arguably </w:t>
      </w:r>
      <w:r w:rsidR="00A0051F">
        <w:t>be inconsistent with the traditional view</w:t>
      </w:r>
      <w:r w:rsidR="00104BF9">
        <w:t xml:space="preserve"> that a security includes an investor expectation of profit</w:t>
      </w:r>
      <w:r w:rsidR="00801BD6">
        <w:t xml:space="preserve">, since </w:t>
      </w:r>
      <w:r w:rsidR="00FA6424">
        <w:t>most stablecoins do not yield returns</w:t>
      </w:r>
      <w:r w:rsidR="0009097B">
        <w:t>.</w:t>
      </w:r>
      <w:r w:rsidR="00E224E9">
        <w:rPr>
          <w:rStyle w:val="FootnoteReference"/>
        </w:rPr>
        <w:footnoteReference w:id="53"/>
      </w:r>
      <w:r w:rsidR="0009097B">
        <w:t xml:space="preserve">  </w:t>
      </w:r>
      <w:r w:rsidR="004A3364">
        <w:t>The problem appears to be the opacity of the</w:t>
      </w:r>
      <w:r w:rsidR="00350F42">
        <w:t xml:space="preserve"> accounting</w:t>
      </w:r>
      <w:r w:rsidR="00D02676">
        <w:t xml:space="preserve"> for </w:t>
      </w:r>
      <w:r w:rsidR="00A85E3C">
        <w:t>‘</w:t>
      </w:r>
      <w:r w:rsidR="00D02676">
        <w:t>conventional</w:t>
      </w:r>
      <w:r w:rsidR="00A85E3C">
        <w:t>’</w:t>
      </w:r>
      <w:r w:rsidR="00D02676">
        <w:t xml:space="preserve"> stablecoins, </w:t>
      </w:r>
      <w:r w:rsidR="00490DB0">
        <w:t xml:space="preserve">they do not wish to reveal their </w:t>
      </w:r>
      <w:r w:rsidR="00F27894">
        <w:t>‘</w:t>
      </w:r>
      <w:r w:rsidR="00490DB0">
        <w:t>secret sauce</w:t>
      </w:r>
      <w:r w:rsidR="00F27894">
        <w:t>’</w:t>
      </w:r>
      <w:r w:rsidR="00DC7385">
        <w:t xml:space="preserve">, </w:t>
      </w:r>
      <w:r w:rsidR="00D02676">
        <w:t xml:space="preserve">and </w:t>
      </w:r>
      <w:r w:rsidR="0005399C">
        <w:t xml:space="preserve">in some cases </w:t>
      </w:r>
      <w:r w:rsidR="009A7C27">
        <w:t xml:space="preserve">the </w:t>
      </w:r>
      <w:r w:rsidR="000F3BBD">
        <w:t>functioning o</w:t>
      </w:r>
      <w:r w:rsidR="00FD1FD3">
        <w:t>f the</w:t>
      </w:r>
      <w:r w:rsidR="009A7C27">
        <w:t xml:space="preserve"> algorithm </w:t>
      </w:r>
      <w:r w:rsidR="00FD1FD3">
        <w:t>designed</w:t>
      </w:r>
      <w:r w:rsidR="009A7C27">
        <w:t xml:space="preserve"> to </w:t>
      </w:r>
      <w:r w:rsidR="000904EE">
        <w:t xml:space="preserve">maintain the </w:t>
      </w:r>
      <w:r w:rsidR="003F4EBD">
        <w:t>necessary value</w:t>
      </w:r>
      <w:r w:rsidR="00CC2517">
        <w:t xml:space="preserve"> automatically.</w:t>
      </w:r>
      <w:r w:rsidR="003D2E94">
        <w:t xml:space="preserve"> While the financial markets</w:t>
      </w:r>
      <w:r w:rsidR="00FA635B">
        <w:t xml:space="preserve"> generally also suffered reverses following rises in interest rates, </w:t>
      </w:r>
      <w:r w:rsidR="002C2095">
        <w:t xml:space="preserve">which affected the </w:t>
      </w:r>
      <w:r w:rsidR="00004B5C">
        <w:t>riskier</w:t>
      </w:r>
      <w:r w:rsidR="002C2095">
        <w:t xml:space="preserve"> </w:t>
      </w:r>
      <w:r w:rsidR="002A1965">
        <w:t xml:space="preserve">asset </w:t>
      </w:r>
      <w:r w:rsidR="00E4159C">
        <w:t>classes</w:t>
      </w:r>
      <w:r w:rsidR="002A1965">
        <w:t xml:space="preserve"> generally, </w:t>
      </w:r>
      <w:r w:rsidR="00FA635B">
        <w:t>the problem appears to be more acute</w:t>
      </w:r>
      <w:r w:rsidR="00391CE7">
        <w:t xml:space="preserve"> among cryptocurren</w:t>
      </w:r>
      <w:r w:rsidR="0054415C">
        <w:t>cy stablecoins</w:t>
      </w:r>
      <w:r w:rsidR="007B043D">
        <w:t xml:space="preserve"> for the very reason that they are not securities</w:t>
      </w:r>
      <w:r w:rsidR="000B799C">
        <w:t xml:space="preserve"> and are not fiat currencies</w:t>
      </w:r>
      <w:r w:rsidR="00314BAD">
        <w:t xml:space="preserve"> backed by governments</w:t>
      </w:r>
      <w:r w:rsidR="00126455">
        <w:t xml:space="preserve"> either.</w:t>
      </w:r>
      <w:r w:rsidR="00F4797B">
        <w:t xml:space="preserve">  Some suggest there are problems with cryptosphere ‘plumbing’.</w:t>
      </w:r>
      <w:r w:rsidR="00F4797B">
        <w:rPr>
          <w:rStyle w:val="FootnoteReference"/>
        </w:rPr>
        <w:footnoteReference w:id="54"/>
      </w:r>
    </w:p>
    <w:p w14:paraId="10BB312A" w14:textId="7AA6379A" w:rsidR="00262383" w:rsidRDefault="0065030D" w:rsidP="00AB7393">
      <w:pPr>
        <w:pStyle w:val="BodyText"/>
      </w:pPr>
      <w:r>
        <w:t>Whatever view one takes in that debate</w:t>
      </w:r>
      <w:r w:rsidR="00F2162F">
        <w:t>, there seems on the face of it little doubt that</w:t>
      </w:r>
      <w:r w:rsidR="00144568">
        <w:t>, depending on their precise terms</w:t>
      </w:r>
      <w:r w:rsidR="00CC5AC4">
        <w:t>,</w:t>
      </w:r>
      <w:r w:rsidR="00592842">
        <w:t xml:space="preserve"> security </w:t>
      </w:r>
      <w:r w:rsidR="00584DDA">
        <w:t>tokens will be securities</w:t>
      </w:r>
      <w:r w:rsidR="00144568">
        <w:t xml:space="preserve"> for regulatory and tax purposes</w:t>
      </w:r>
      <w:r w:rsidR="00B93704">
        <w:t>.</w:t>
      </w:r>
      <w:r w:rsidR="00A13E0C">
        <w:rPr>
          <w:rStyle w:val="FootnoteReference"/>
        </w:rPr>
        <w:footnoteReference w:id="55"/>
      </w:r>
      <w:r w:rsidR="003869C0">
        <w:t xml:space="preserve">  This will include related derivatives</w:t>
      </w:r>
      <w:r w:rsidR="00767F48">
        <w:t xml:space="preserve">, </w:t>
      </w:r>
      <w:r w:rsidR="001D4066">
        <w:t>those</w:t>
      </w:r>
      <w:r w:rsidR="00CA20D6">
        <w:t xml:space="preserve"> that </w:t>
      </w:r>
      <w:r w:rsidR="00D51177">
        <w:t xml:space="preserve">take their value by </w:t>
      </w:r>
      <w:r w:rsidR="00CA20D6">
        <w:t xml:space="preserve">reference </w:t>
      </w:r>
      <w:r w:rsidR="00D51177">
        <w:t xml:space="preserve">to </w:t>
      </w:r>
      <w:r w:rsidR="00767F48">
        <w:t>security tokens.</w:t>
      </w:r>
      <w:r w:rsidR="00F27731">
        <w:t xml:space="preserve">  HMRC</w:t>
      </w:r>
      <w:r w:rsidR="0064728D">
        <w:t xml:space="preserve"> publishes a Crypto</w:t>
      </w:r>
      <w:r w:rsidR="006934F9">
        <w:t xml:space="preserve">assets Manual, which </w:t>
      </w:r>
      <w:r w:rsidR="002D1DBF">
        <w:t xml:space="preserve">reflects the classification of cryptoassets into </w:t>
      </w:r>
      <w:r w:rsidR="002D1EEE">
        <w:t>exchange tokens, utility tokens, security tokens and</w:t>
      </w:r>
      <w:r w:rsidR="003C7BCD">
        <w:t xml:space="preserve"> stablecoins</w:t>
      </w:r>
      <w:r w:rsidR="0071473D">
        <w:t>.</w:t>
      </w:r>
      <w:r w:rsidR="00893ACE">
        <w:rPr>
          <w:rStyle w:val="FootnoteReference"/>
        </w:rPr>
        <w:footnoteReference w:id="56"/>
      </w:r>
    </w:p>
    <w:p w14:paraId="011D224A" w14:textId="73CB9556" w:rsidR="007D51B3" w:rsidRDefault="003C7BCD" w:rsidP="00AB7393">
      <w:pPr>
        <w:pStyle w:val="BodyText"/>
      </w:pPr>
      <w:r>
        <w:t xml:space="preserve">The manual emphasises that </w:t>
      </w:r>
      <w:r w:rsidR="00825C06">
        <w:t xml:space="preserve">it is the nature of the </w:t>
      </w:r>
      <w:r w:rsidR="007C36C5">
        <w:t xml:space="preserve">cryptoassets and how </w:t>
      </w:r>
      <w:r w:rsidR="005337F8">
        <w:t>th</w:t>
      </w:r>
      <w:r w:rsidR="002E1F5C">
        <w:t xml:space="preserve">ey are </w:t>
      </w:r>
      <w:r w:rsidR="007C36C5">
        <w:t>used</w:t>
      </w:r>
      <w:r w:rsidR="000C4F13">
        <w:t xml:space="preserve"> rather than any definition or description of them that is</w:t>
      </w:r>
      <w:r w:rsidR="00B16CB2">
        <w:t xml:space="preserve"> the starting point.</w:t>
      </w:r>
      <w:r w:rsidR="00D17895">
        <w:t xml:space="preserve"> Most UK resident investors will be liable to</w:t>
      </w:r>
      <w:r w:rsidR="006F78A3">
        <w:t xml:space="preserve"> chargeable gains on disposal</w:t>
      </w:r>
      <w:r w:rsidR="00CA6809">
        <w:t xml:space="preserve"> rather than</w:t>
      </w:r>
      <w:r w:rsidR="002E1F5C">
        <w:t xml:space="preserve"> to</w:t>
      </w:r>
      <w:r w:rsidR="00CA6809">
        <w:t xml:space="preserve"> income taxes</w:t>
      </w:r>
      <w:r w:rsidR="00E87EC3">
        <w:t xml:space="preserve">, though there are exceptions where </w:t>
      </w:r>
      <w:r w:rsidR="007A0E49">
        <w:t xml:space="preserve">the taxpayer is actively </w:t>
      </w:r>
      <w:r w:rsidR="0001173C">
        <w:t>‘</w:t>
      </w:r>
      <w:r w:rsidR="007A0E49">
        <w:t>mining</w:t>
      </w:r>
      <w:r w:rsidR="0001173C">
        <w:t>’</w:t>
      </w:r>
      <w:r w:rsidR="007A0E49">
        <w:t xml:space="preserve"> or </w:t>
      </w:r>
      <w:r w:rsidR="00F51277">
        <w:t>‘</w:t>
      </w:r>
      <w:r w:rsidR="007A0E49">
        <w:t>staking</w:t>
      </w:r>
      <w:r w:rsidR="0001173C">
        <w:t>’</w:t>
      </w:r>
      <w:r w:rsidR="002A78F3">
        <w:t xml:space="preserve">, is </w:t>
      </w:r>
      <w:r w:rsidR="003F1D7D">
        <w:t xml:space="preserve">otherwise </w:t>
      </w:r>
      <w:r w:rsidR="002A78F3">
        <w:t>undertaking a trade</w:t>
      </w:r>
      <w:r w:rsidR="001864E4">
        <w:t>, or is being</w:t>
      </w:r>
      <w:r w:rsidR="00580C88">
        <w:t xml:space="preserve"> </w:t>
      </w:r>
      <w:r w:rsidR="001864E4">
        <w:t>remunerated</w:t>
      </w:r>
      <w:r w:rsidR="00580C88">
        <w:t xml:space="preserve"> for services</w:t>
      </w:r>
      <w:r w:rsidR="00BF2B1B">
        <w:t xml:space="preserve"> undertaken</w:t>
      </w:r>
      <w:r w:rsidR="00926DA0">
        <w:t>.  Chargeable</w:t>
      </w:r>
      <w:r w:rsidR="008417A5">
        <w:t xml:space="preserve"> gains </w:t>
      </w:r>
      <w:r w:rsidR="00D51A0E">
        <w:t>accrue</w:t>
      </w:r>
      <w:r w:rsidR="008417A5">
        <w:t xml:space="preserve"> on disposals of the assets</w:t>
      </w:r>
      <w:r w:rsidR="004835FE">
        <w:t>.</w:t>
      </w:r>
    </w:p>
    <w:p w14:paraId="2BA7D0AB" w14:textId="0D83BE15" w:rsidR="00B41F95" w:rsidRDefault="00556002" w:rsidP="00AB7393">
      <w:pPr>
        <w:pStyle w:val="BodyText"/>
      </w:pPr>
      <w:r>
        <w:t>There is no international consensus at present</w:t>
      </w:r>
      <w:r w:rsidR="00A61AA7">
        <w:t xml:space="preserve"> on the treatment of</w:t>
      </w:r>
      <w:r w:rsidR="00194502">
        <w:t xml:space="preserve"> cryptocurrencies and cryptoassets generally</w:t>
      </w:r>
      <w:r w:rsidR="00514820">
        <w:t>.  The legal status</w:t>
      </w:r>
      <w:r w:rsidR="00F73EED">
        <w:t xml:space="preserve"> of security tok</w:t>
      </w:r>
      <w:r w:rsidR="00780B76">
        <w:t>ens an</w:t>
      </w:r>
      <w:r w:rsidR="00BB3BD8">
        <w:t>d</w:t>
      </w:r>
      <w:r w:rsidR="00780B76">
        <w:t xml:space="preserve"> their</w:t>
      </w:r>
      <w:r w:rsidR="00F73EED">
        <w:t xml:space="preserve"> </w:t>
      </w:r>
      <w:r w:rsidR="00780B76">
        <w:t>offering</w:t>
      </w:r>
      <w:r w:rsidR="00514820">
        <w:t xml:space="preserve"> differs</w:t>
      </w:r>
      <w:r w:rsidR="007A3164">
        <w:t xml:space="preserve"> greatly</w:t>
      </w:r>
      <w:r w:rsidR="00C5424C">
        <w:t>.  Some states, like El Salvador</w:t>
      </w:r>
      <w:r w:rsidR="00C506CE">
        <w:t>,</w:t>
      </w:r>
      <w:r w:rsidR="00D53E3B">
        <w:t xml:space="preserve"> </w:t>
      </w:r>
      <w:r w:rsidR="00C506CE">
        <w:t xml:space="preserve">have embraced </w:t>
      </w:r>
      <w:r w:rsidR="00D53E3B">
        <w:t>crypto</w:t>
      </w:r>
      <w:r w:rsidR="00B80FA6">
        <w:t>currency</w:t>
      </w:r>
      <w:r w:rsidR="00D53E3B">
        <w:t xml:space="preserve"> with enthusiasm</w:t>
      </w:r>
      <w:r w:rsidR="003363DB">
        <w:t>, it was</w:t>
      </w:r>
      <w:r w:rsidR="00387912">
        <w:t xml:space="preserve"> the first country to adopt bitcoin as </w:t>
      </w:r>
      <w:r w:rsidR="009903F6">
        <w:t>official currency</w:t>
      </w:r>
      <w:r w:rsidR="00BB3BD8">
        <w:t>.</w:t>
      </w:r>
      <w:r w:rsidR="008C6864">
        <w:t xml:space="preserve">  Others, notably China and India have</w:t>
      </w:r>
      <w:r w:rsidR="00D972BE">
        <w:t xml:space="preserve"> threatened</w:t>
      </w:r>
      <w:r w:rsidR="00F51277">
        <w:t xml:space="preserve"> or implemented</w:t>
      </w:r>
      <w:r w:rsidR="00D972BE">
        <w:t xml:space="preserve"> bans.</w:t>
      </w:r>
      <w:r w:rsidR="0027643E">
        <w:t xml:space="preserve">  In general, policies are </w:t>
      </w:r>
      <w:r w:rsidR="00210F1C">
        <w:t xml:space="preserve">under </w:t>
      </w:r>
      <w:r w:rsidR="0027643E">
        <w:t>develop</w:t>
      </w:r>
      <w:r w:rsidR="00210F1C">
        <w:t>ment</w:t>
      </w:r>
      <w:r w:rsidR="0027643E">
        <w:t xml:space="preserve">.  </w:t>
      </w:r>
      <w:r w:rsidR="00956CD9">
        <w:t>In the E</w:t>
      </w:r>
      <w:r w:rsidR="0088464D">
        <w:t>uropean Union</w:t>
      </w:r>
      <w:r w:rsidR="00383754">
        <w:t>,</w:t>
      </w:r>
      <w:r w:rsidR="00956CD9">
        <w:t xml:space="preserve"> </w:t>
      </w:r>
      <w:r w:rsidR="00203239">
        <w:t>MiFID</w:t>
      </w:r>
      <w:r w:rsidR="00B5154E">
        <w:t xml:space="preserve"> II</w:t>
      </w:r>
      <w:r w:rsidR="0050007B">
        <w:rPr>
          <w:rStyle w:val="FootnoteReference"/>
        </w:rPr>
        <w:footnoteReference w:id="57"/>
      </w:r>
      <w:r w:rsidR="005E379E">
        <w:t xml:space="preserve"> </w:t>
      </w:r>
      <w:r w:rsidR="00203239">
        <w:t>covers mos</w:t>
      </w:r>
      <w:r w:rsidR="0050007B">
        <w:t>t</w:t>
      </w:r>
      <w:r w:rsidR="00203239">
        <w:t xml:space="preserve"> securities and security tokens</w:t>
      </w:r>
      <w:r w:rsidR="00A061D9">
        <w:t>,</w:t>
      </w:r>
      <w:r w:rsidR="007F2772">
        <w:t xml:space="preserve"> </w:t>
      </w:r>
      <w:r w:rsidR="00383754">
        <w:t>but</w:t>
      </w:r>
      <w:r w:rsidR="00A061D9">
        <w:t xml:space="preserve"> a </w:t>
      </w:r>
      <w:r w:rsidR="00A061D9">
        <w:lastRenderedPageBreak/>
        <w:t>speci</w:t>
      </w:r>
      <w:r w:rsidR="00F51C35">
        <w:t>al</w:t>
      </w:r>
      <w:r w:rsidR="00A061D9">
        <w:t xml:space="preserve"> regulatory framework</w:t>
      </w:r>
      <w:r w:rsidR="00AE66FC">
        <w:t xml:space="preserve"> </w:t>
      </w:r>
      <w:r w:rsidR="00E90E5C">
        <w:t xml:space="preserve">the </w:t>
      </w:r>
      <w:r w:rsidR="00AE66FC">
        <w:t>MiCA</w:t>
      </w:r>
      <w:r w:rsidR="00E90E5C">
        <w:t xml:space="preserve"> Regulation</w:t>
      </w:r>
      <w:r w:rsidR="00470DE8">
        <w:rPr>
          <w:rStyle w:val="FootnoteReference"/>
        </w:rPr>
        <w:footnoteReference w:id="58"/>
      </w:r>
      <w:r w:rsidR="000623BA">
        <w:t xml:space="preserve"> is being developed.  </w:t>
      </w:r>
      <w:r w:rsidR="00A94FC5">
        <w:t>The United Sta</w:t>
      </w:r>
      <w:r w:rsidR="009055AE">
        <w:t>t</w:t>
      </w:r>
      <w:r w:rsidR="00A94FC5">
        <w:t>es applies</w:t>
      </w:r>
      <w:r w:rsidR="009055AE">
        <w:t xml:space="preserve"> its existing </w:t>
      </w:r>
      <w:r w:rsidR="00DF534B">
        <w:t>securities laws</w:t>
      </w:r>
      <w:r w:rsidR="00A94E56">
        <w:rPr>
          <w:rStyle w:val="FootnoteReference"/>
        </w:rPr>
        <w:footnoteReference w:id="59"/>
      </w:r>
      <w:r w:rsidR="006358B1">
        <w:t>.  Australi</w:t>
      </w:r>
      <w:r w:rsidR="003A00FE">
        <w:t>a</w:t>
      </w:r>
      <w:r w:rsidR="006358B1">
        <w:t xml:space="preserve"> distinguishes between</w:t>
      </w:r>
      <w:r w:rsidR="00AC6D0A">
        <w:t xml:space="preserve"> financial and non-financial tokenised securities</w:t>
      </w:r>
      <w:r w:rsidR="00BC3F28">
        <w:t>.  The United Kingdom distinguishes</w:t>
      </w:r>
      <w:r w:rsidR="0062459C">
        <w:t xml:space="preserve"> the three categories</w:t>
      </w:r>
      <w:r w:rsidR="00E220E6">
        <w:t>, security, exchange and</w:t>
      </w:r>
      <w:r w:rsidR="008E7B65">
        <w:t xml:space="preserve"> </w:t>
      </w:r>
      <w:r w:rsidR="00E220E6">
        <w:t xml:space="preserve">utility tokens as </w:t>
      </w:r>
      <w:r w:rsidR="008E7B65">
        <w:t>mentioned above</w:t>
      </w:r>
      <w:r w:rsidR="00E7067D">
        <w:t>.</w:t>
      </w:r>
      <w:r w:rsidR="004119D9">
        <w:rPr>
          <w:rStyle w:val="FootnoteReference"/>
        </w:rPr>
        <w:footnoteReference w:id="60"/>
      </w:r>
      <w:r w:rsidR="00B61E10">
        <w:t xml:space="preserve">  Switzerland</w:t>
      </w:r>
      <w:r w:rsidR="007D7F1C">
        <w:t xml:space="preserve"> regulates security tokens under a series of laws</w:t>
      </w:r>
      <w:r w:rsidR="0081444A">
        <w:t xml:space="preserve"> defined by FINMA, the </w:t>
      </w:r>
      <w:r w:rsidR="00D722A6">
        <w:t>Swiss Financial Market Supervisory Authority</w:t>
      </w:r>
      <w:r w:rsidR="0081444A">
        <w:t>.</w:t>
      </w:r>
      <w:r w:rsidR="006B71F8">
        <w:t xml:space="preserve">  Japan</w:t>
      </w:r>
      <w:r w:rsidR="009F4BA2">
        <w:t xml:space="preserve"> has developed a framework for regulating security tokens and their offerings.</w:t>
      </w:r>
      <w:r w:rsidR="007D69B3">
        <w:t xml:space="preserve">  So</w:t>
      </w:r>
      <w:r w:rsidR="00D12161">
        <w:t>uth Korea has banned sales of security tokens</w:t>
      </w:r>
      <w:r w:rsidR="00A21F9B">
        <w:t xml:space="preserve"> and </w:t>
      </w:r>
      <w:r w:rsidR="00C734FF">
        <w:t>t</w:t>
      </w:r>
      <w:r w:rsidR="00A21F9B">
        <w:t>heir offerings</w:t>
      </w:r>
      <w:r w:rsidR="00181681">
        <w:t xml:space="preserve">, but that policy is under review.  Canada proceeds on a </w:t>
      </w:r>
      <w:r w:rsidR="002A7750">
        <w:t>case-by-case</w:t>
      </w:r>
      <w:r w:rsidR="00181681">
        <w:t xml:space="preserve"> basis.</w:t>
      </w:r>
      <w:r w:rsidR="00A93FA2">
        <w:t xml:space="preserve">  The general policy is </w:t>
      </w:r>
      <w:r w:rsidR="002A7750">
        <w:t xml:space="preserve">more favourable to </w:t>
      </w:r>
      <w:r w:rsidR="00A85F92">
        <w:t>security tokens and their offering than to coins</w:t>
      </w:r>
      <w:r w:rsidR="00CE7E80">
        <w:t>, for the reasons discussed above.</w:t>
      </w:r>
    </w:p>
    <w:p w14:paraId="52BA6C5D" w14:textId="75B3687E" w:rsidR="00796AEC" w:rsidRDefault="00796AEC" w:rsidP="00796AEC">
      <w:pPr>
        <w:pStyle w:val="Heading2"/>
      </w:pPr>
      <w:r>
        <w:t>Conclusion</w:t>
      </w:r>
    </w:p>
    <w:p w14:paraId="7EBC9631" w14:textId="2EFC3AE4" w:rsidR="00796AEC" w:rsidRDefault="00821B74" w:rsidP="00796AEC">
      <w:pPr>
        <w:pStyle w:val="BodyText"/>
      </w:pPr>
      <w:r>
        <w:t>Even r</w:t>
      </w:r>
      <w:r w:rsidR="00E81559">
        <w:t>ecognising that Lord Cave’s</w:t>
      </w:r>
      <w:r w:rsidR="002640C6">
        <w:t xml:space="preserve"> statement was </w:t>
      </w:r>
      <w:r w:rsidR="00EA5435">
        <w:t>drafted more than a hundred years ago the</w:t>
      </w:r>
      <w:r w:rsidR="00774136">
        <w:t xml:space="preserve"> subsequent case law suggests that the normal meaning of securities was open </w:t>
      </w:r>
      <w:r w:rsidR="00174F46">
        <w:t>to quite a lot of doubt and has a number of meanings in different fields</w:t>
      </w:r>
      <w:r w:rsidR="00C653D7">
        <w:t xml:space="preserve">.  </w:t>
      </w:r>
      <w:r w:rsidR="00B55716">
        <w:t>Securities or a security</w:t>
      </w:r>
      <w:r w:rsidR="009975F5">
        <w:t xml:space="preserve"> may refer to</w:t>
      </w:r>
      <w:r w:rsidR="00B02C78">
        <w:t xml:space="preserve"> an extension of the simple promise</w:t>
      </w:r>
      <w:r w:rsidR="00A13EB6">
        <w:t xml:space="preserve"> or obligation to </w:t>
      </w:r>
      <w:r w:rsidR="00445806">
        <w:t xml:space="preserve">repay an advance, </w:t>
      </w:r>
      <w:r w:rsidR="009975F5">
        <w:t>or</w:t>
      </w:r>
      <w:r w:rsidR="00445806">
        <w:t xml:space="preserve"> it may mean</w:t>
      </w:r>
      <w:r w:rsidR="00B950F7">
        <w:t xml:space="preserve"> an instrument which supports the</w:t>
      </w:r>
      <w:r w:rsidR="00FD2AA3">
        <w:t xml:space="preserve"> terms of the contract between obligor and obligee</w:t>
      </w:r>
      <w:r w:rsidR="00DD7A1F">
        <w:t>.  It may include a</w:t>
      </w:r>
      <w:r w:rsidR="00A06FAC">
        <w:t xml:space="preserve"> bill of exchange,</w:t>
      </w:r>
      <w:r w:rsidR="002C6A60">
        <w:t xml:space="preserve"> guarantee or promissory note.</w:t>
      </w:r>
      <w:r w:rsidR="00134105">
        <w:t xml:space="preserve">  It may also mean the real security or collateral</w:t>
      </w:r>
      <w:r w:rsidR="006324B7">
        <w:t>, the right over property</w:t>
      </w:r>
      <w:r w:rsidR="00A22B47">
        <w:t xml:space="preserve"> by which the enforcement of a liability</w:t>
      </w:r>
      <w:r w:rsidR="00FA034A">
        <w:t xml:space="preserve"> is</w:t>
      </w:r>
      <w:r w:rsidR="00F31097">
        <w:t xml:space="preserve"> facilitated</w:t>
      </w:r>
      <w:r w:rsidR="00101868">
        <w:t>.</w:t>
      </w:r>
    </w:p>
    <w:p w14:paraId="24D0C24B" w14:textId="32B5647B" w:rsidR="009A6235" w:rsidRPr="00796AEC" w:rsidRDefault="009A6235" w:rsidP="00796AEC">
      <w:pPr>
        <w:pStyle w:val="BodyText"/>
      </w:pPr>
      <w:r>
        <w:t xml:space="preserve">Securities is </w:t>
      </w:r>
      <w:r w:rsidR="00584689">
        <w:t xml:space="preserve">certainly a </w:t>
      </w:r>
      <w:r w:rsidR="00E60303">
        <w:t>chameleon</w:t>
      </w:r>
      <w:r w:rsidR="00584689">
        <w:t xml:space="preserve"> word that takes its c</w:t>
      </w:r>
      <w:r w:rsidR="00D33855">
        <w:t>olour according to context and has different scope and meanings according to its ta</w:t>
      </w:r>
      <w:r w:rsidR="00582D62">
        <w:t>x, regulatory or commercial usage</w:t>
      </w:r>
      <w:r w:rsidR="00E720E2">
        <w:t xml:space="preserve">.  It is </w:t>
      </w:r>
      <w:r w:rsidR="008D16C7">
        <w:t xml:space="preserve">of </w:t>
      </w:r>
      <w:r w:rsidR="008D5D2F">
        <w:t>early</w:t>
      </w:r>
      <w:r w:rsidR="008D16C7">
        <w:t xml:space="preserve"> origin and its meaning has developed, but not in a way fundamentally different from </w:t>
      </w:r>
      <w:r w:rsidR="008D5D2F">
        <w:t xml:space="preserve">that </w:t>
      </w:r>
      <w:r w:rsidR="008D16C7">
        <w:t>origin</w:t>
      </w:r>
      <w:r w:rsidR="008D5D2F">
        <w:t>.</w:t>
      </w:r>
      <w:r w:rsidR="009B5B64">
        <w:t xml:space="preserve">  Its meaning is relevant, and a matter of some dispute, in relation to</w:t>
      </w:r>
      <w:r w:rsidR="003C4CCF">
        <w:t xml:space="preserve"> the </w:t>
      </w:r>
      <w:r w:rsidR="00BB6EEC">
        <w:t xml:space="preserve">very </w:t>
      </w:r>
      <w:r w:rsidR="003C4CCF">
        <w:t>newest technologies.</w:t>
      </w:r>
    </w:p>
    <w:p w14:paraId="32D30C6D" w14:textId="65906E10" w:rsidR="0097577D" w:rsidRDefault="0097577D" w:rsidP="00720D65">
      <w:pPr>
        <w:pStyle w:val="BodyText"/>
      </w:pPr>
    </w:p>
    <w:p w14:paraId="70DB4C0D" w14:textId="77777777" w:rsidR="0097577D" w:rsidRDefault="0097577D" w:rsidP="00720D65">
      <w:pPr>
        <w:pStyle w:val="BodyText"/>
      </w:pPr>
    </w:p>
    <w:p w14:paraId="0B60FC18" w14:textId="77777777" w:rsidR="00AF2E52" w:rsidRPr="00720D65" w:rsidRDefault="00AF2E52" w:rsidP="00720D65">
      <w:pPr>
        <w:pStyle w:val="BodyText"/>
      </w:pPr>
    </w:p>
    <w:p w14:paraId="71888DB4" w14:textId="77777777" w:rsidR="003E1ED7" w:rsidRDefault="003E1ED7" w:rsidP="00AF2E52">
      <w:pPr>
        <w:pStyle w:val="BodyText"/>
      </w:pPr>
    </w:p>
    <w:p w14:paraId="0F05C1EF" w14:textId="77777777" w:rsidR="003E1ED7" w:rsidRDefault="003E1ED7" w:rsidP="00AF2E52">
      <w:pPr>
        <w:pStyle w:val="BodyText"/>
      </w:pPr>
    </w:p>
    <w:p w14:paraId="3B1AE415" w14:textId="77777777" w:rsidR="003E1ED7" w:rsidRDefault="003E1ED7" w:rsidP="00AF2E52">
      <w:pPr>
        <w:pStyle w:val="BodyText"/>
      </w:pPr>
    </w:p>
    <w:p w14:paraId="75E073EF" w14:textId="6AEDAD36" w:rsidR="00AF2E52" w:rsidRPr="00AF2E52" w:rsidRDefault="00AF2E52" w:rsidP="00AF2E52">
      <w:pPr>
        <w:pStyle w:val="BodyText"/>
      </w:pPr>
      <w:r w:rsidRPr="00AF2E52">
        <w:t> </w:t>
      </w:r>
    </w:p>
    <w:p w14:paraId="58897B79" w14:textId="6806AC9F" w:rsidR="006D3FAD" w:rsidRDefault="006D3FAD" w:rsidP="006D3FAD">
      <w:pPr>
        <w:pStyle w:val="BodyText"/>
      </w:pPr>
    </w:p>
    <w:p w14:paraId="76F3DD1E" w14:textId="7B77C062" w:rsidR="00A4222B" w:rsidRPr="00A4222B" w:rsidRDefault="00A4222B" w:rsidP="00A4222B">
      <w:pPr>
        <w:pStyle w:val="BodyText"/>
      </w:pPr>
    </w:p>
    <w:p w14:paraId="26F27C0A" w14:textId="0476CDF3" w:rsidR="008E4C30" w:rsidRPr="00440378" w:rsidRDefault="008E4C30" w:rsidP="00575228">
      <w:pPr>
        <w:pStyle w:val="BodyText"/>
      </w:pPr>
    </w:p>
    <w:p w14:paraId="43A155BF" w14:textId="076A6A3A" w:rsidR="00656964" w:rsidRPr="009C58B5" w:rsidRDefault="00656964" w:rsidP="003F7591">
      <w:pPr>
        <w:pStyle w:val="BodyText"/>
      </w:pPr>
    </w:p>
    <w:p w14:paraId="7069E9B1" w14:textId="77777777" w:rsidR="009C58B5" w:rsidRPr="00A13BCA" w:rsidRDefault="009C58B5" w:rsidP="00A13BCA">
      <w:pPr>
        <w:pStyle w:val="BodyText"/>
      </w:pPr>
    </w:p>
    <w:p w14:paraId="095F1A68" w14:textId="77777777" w:rsidR="00F87409" w:rsidRPr="001A6500" w:rsidRDefault="00F87409" w:rsidP="0010364D">
      <w:pPr>
        <w:pStyle w:val="BodyText"/>
      </w:pPr>
    </w:p>
    <w:p w14:paraId="4B6E22AF" w14:textId="77777777" w:rsidR="00A56136" w:rsidRPr="00A56136" w:rsidRDefault="00A56136" w:rsidP="00A56136">
      <w:pPr>
        <w:pStyle w:val="BodyText"/>
      </w:pPr>
    </w:p>
    <w:p w14:paraId="423FD410" w14:textId="77777777" w:rsidR="00960CDE" w:rsidRDefault="00960CDE" w:rsidP="00427969">
      <w:pPr>
        <w:pStyle w:val="Heading3"/>
      </w:pPr>
    </w:p>
    <w:p w14:paraId="6E6FB9D7" w14:textId="77777777" w:rsidR="003F19D2" w:rsidRDefault="003F19D2" w:rsidP="00992CA0">
      <w:pPr>
        <w:pStyle w:val="BodyText"/>
      </w:pPr>
    </w:p>
    <w:p w14:paraId="2136A7BB" w14:textId="77777777" w:rsidR="00596202" w:rsidRPr="00992CA0" w:rsidRDefault="00596202" w:rsidP="00992CA0">
      <w:pPr>
        <w:pStyle w:val="BodyText"/>
      </w:pPr>
    </w:p>
    <w:p w14:paraId="75958853" w14:textId="77777777" w:rsidR="007D17D3" w:rsidRDefault="007D17D3" w:rsidP="008B42FF">
      <w:pPr>
        <w:pStyle w:val="BodyText"/>
      </w:pPr>
    </w:p>
    <w:p w14:paraId="27963413" w14:textId="77777777" w:rsidR="00581E86" w:rsidRDefault="00581E86" w:rsidP="008B42FF">
      <w:pPr>
        <w:pStyle w:val="BodyText"/>
      </w:pPr>
    </w:p>
    <w:p w14:paraId="7643784A" w14:textId="77777777" w:rsidR="002B5A24" w:rsidRDefault="002B5A24" w:rsidP="008B42FF">
      <w:pPr>
        <w:pStyle w:val="BodyText"/>
      </w:pPr>
    </w:p>
    <w:p w14:paraId="7E4E23B2" w14:textId="77777777" w:rsidR="002B5A24" w:rsidRDefault="002B5A24" w:rsidP="008B42FF">
      <w:pPr>
        <w:pStyle w:val="BodyText"/>
      </w:pPr>
    </w:p>
    <w:p w14:paraId="16BC4CCB" w14:textId="77777777" w:rsidR="002B5A24" w:rsidRDefault="002B5A24" w:rsidP="008B42FF">
      <w:pPr>
        <w:pStyle w:val="BodyText"/>
      </w:pPr>
    </w:p>
    <w:p w14:paraId="50DAB53A" w14:textId="77777777" w:rsidR="002B5A24" w:rsidRDefault="002B5A24" w:rsidP="008B42FF">
      <w:pPr>
        <w:pStyle w:val="BodyText"/>
      </w:pPr>
    </w:p>
    <w:p w14:paraId="716755B9" w14:textId="77777777" w:rsidR="002B5A24" w:rsidRDefault="002B5A24" w:rsidP="008B42FF">
      <w:pPr>
        <w:pStyle w:val="BodyText"/>
      </w:pPr>
    </w:p>
    <w:p w14:paraId="24508A60" w14:textId="77777777" w:rsidR="002B5A24" w:rsidRDefault="002B5A24" w:rsidP="008B42FF">
      <w:pPr>
        <w:pStyle w:val="BodyText"/>
      </w:pPr>
    </w:p>
    <w:p w14:paraId="40D95B91" w14:textId="77777777" w:rsidR="002B5A24" w:rsidRDefault="002B5A24" w:rsidP="008B42FF">
      <w:pPr>
        <w:pStyle w:val="BodyText"/>
      </w:pPr>
    </w:p>
    <w:p w14:paraId="5B3FC90D" w14:textId="07D43D69" w:rsidR="005F0F66" w:rsidRPr="00960B61" w:rsidRDefault="005F0F66" w:rsidP="00960B61">
      <w:pPr>
        <w:pStyle w:val="BodyText"/>
      </w:pPr>
    </w:p>
    <w:sectPr w:rsidR="005F0F66" w:rsidRPr="00960B61" w:rsidSect="00950CAA">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867DA" w14:textId="77777777" w:rsidR="00634779" w:rsidRDefault="00634779" w:rsidP="000A3AA4">
      <w:r>
        <w:separator/>
      </w:r>
    </w:p>
  </w:endnote>
  <w:endnote w:type="continuationSeparator" w:id="0">
    <w:p w14:paraId="6496C7B0" w14:textId="77777777" w:rsidR="00634779" w:rsidRDefault="00634779" w:rsidP="000A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roman"/>
    <w:notTrueType/>
    <w:pitch w:val="default"/>
    <w:sig w:usb0="B07C0003" w:usb1="1C71B108" w:usb2="00035E58" w:usb3="85DF0157" w:csb0="01570001" w:csb1="5C4C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5CB13" w14:textId="77777777" w:rsidR="00BA175E" w:rsidRDefault="00BA1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713E2" w14:textId="70A5D6D6" w:rsidR="00802362" w:rsidRDefault="00E072FA">
    <w:pPr>
      <w:pStyle w:val="Footer"/>
      <w:jc w:val="center"/>
    </w:pPr>
    <w:r>
      <w:rPr>
        <w:noProof/>
      </w:rPr>
      <mc:AlternateContent>
        <mc:Choice Requires="wps">
          <w:drawing>
            <wp:anchor distT="0" distB="0" distL="114300" distR="114300" simplePos="0" relativeHeight="251659264" behindDoc="0" locked="0" layoutInCell="0" allowOverlap="1" wp14:anchorId="252FD1BF" wp14:editId="1B78CAD2">
              <wp:simplePos x="0" y="0"/>
              <wp:positionH relativeFrom="page">
                <wp:posOffset>0</wp:posOffset>
              </wp:positionH>
              <wp:positionV relativeFrom="page">
                <wp:posOffset>10228580</wp:posOffset>
              </wp:positionV>
              <wp:extent cx="7560945" cy="273050"/>
              <wp:effectExtent l="0" t="0" r="0" b="12700"/>
              <wp:wrapNone/>
              <wp:docPr id="1" name="MSIPCM6ffa4f15b5afa99bf158f29c"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A7F255" w14:textId="3DF3C097" w:rsidR="00E072FA" w:rsidRPr="00E072FA" w:rsidRDefault="00E072FA" w:rsidP="00E072FA">
                          <w:pPr>
                            <w:jc w:val="center"/>
                            <w:rPr>
                              <w:rFonts w:ascii="Calibri" w:hAnsi="Calibri" w:cs="Calibri"/>
                              <w:color w:val="000000"/>
                              <w:sz w:val="20"/>
                            </w:rPr>
                          </w:pPr>
                          <w:r w:rsidRPr="00E072F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2FD1BF" id="_x0000_t202" coordsize="21600,21600" o:spt="202" path="m,l,21600r21600,l21600,xe">
              <v:stroke joinstyle="miter"/>
              <v:path gradientshapeok="t" o:connecttype="rect"/>
            </v:shapetype>
            <v:shape id="MSIPCM6ffa4f15b5afa99bf158f29c" o:spid="_x0000_s1026" type="#_x0000_t202" alt="{&quot;HashCode&quot;:-1264847310,&quot;Height&quot;:841.0,&quot;Width&quot;:595.0,&quot;Placement&quot;:&quot;Footer&quot;,&quot;Index&quot;:&quot;Primary&quot;,&quot;Section&quot;:1,&quot;Top&quot;:0.0,&quot;Left&quot;:0.0}" style="position:absolute;left:0;text-align:left;margin-left:0;margin-top:805.4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" o:allowincell="f" filled="f" stroked="f" strokeweight=".5pt">
              <v:textbox inset=",0,,0">
                <w:txbxContent>
                  <w:p w14:paraId="02A7F255" w14:textId="3DF3C097" w:rsidR="00E072FA" w:rsidRPr="00E072FA" w:rsidRDefault="00E072FA" w:rsidP="00E072FA">
                    <w:pPr>
                      <w:jc w:val="center"/>
                      <w:rPr>
                        <w:rFonts w:ascii="Calibri" w:hAnsi="Calibri" w:cs="Calibri"/>
                        <w:color w:val="000000"/>
                        <w:sz w:val="20"/>
                      </w:rPr>
                    </w:pPr>
                    <w:r w:rsidRPr="00E072FA">
                      <w:rPr>
                        <w:rFonts w:ascii="Calibri" w:hAnsi="Calibri" w:cs="Calibri"/>
                        <w:color w:val="000000"/>
                        <w:sz w:val="20"/>
                      </w:rPr>
                      <w:t>OFFICIAL</w:t>
                    </w:r>
                  </w:p>
                </w:txbxContent>
              </v:textbox>
              <w10:wrap anchorx="page" anchory="page"/>
            </v:shape>
          </w:pict>
        </mc:Fallback>
      </mc:AlternateContent>
    </w:r>
    <w:sdt>
      <w:sdtPr>
        <w:id w:val="404806490"/>
        <w:docPartObj>
          <w:docPartGallery w:val="Page Numbers (Bottom of Page)"/>
          <w:docPartUnique/>
        </w:docPartObj>
      </w:sdtPr>
      <w:sdtEndPr>
        <w:rPr>
          <w:noProof/>
        </w:rPr>
      </w:sdtEndPr>
      <w:sdtContent>
        <w:r w:rsidR="00802362">
          <w:fldChar w:fldCharType="begin"/>
        </w:r>
        <w:r w:rsidR="00802362">
          <w:instrText xml:space="preserve"> PAGE   \* MERGEFORMAT </w:instrText>
        </w:r>
        <w:r w:rsidR="00802362">
          <w:fldChar w:fldCharType="separate"/>
        </w:r>
        <w:r w:rsidR="00E86D0B">
          <w:rPr>
            <w:noProof/>
          </w:rPr>
          <w:t>2</w:t>
        </w:r>
        <w:r w:rsidR="00802362">
          <w:rPr>
            <w:noProof/>
          </w:rPr>
          <w:fldChar w:fldCharType="end"/>
        </w:r>
      </w:sdtContent>
    </w:sdt>
  </w:p>
  <w:p w14:paraId="2B62B4E5" w14:textId="77777777" w:rsidR="00802362" w:rsidRDefault="00802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9D25B" w14:textId="77777777" w:rsidR="00BA175E" w:rsidRDefault="00BA1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A8183" w14:textId="77777777" w:rsidR="00634779" w:rsidRDefault="00634779" w:rsidP="000A3AA4">
      <w:r>
        <w:separator/>
      </w:r>
    </w:p>
  </w:footnote>
  <w:footnote w:type="continuationSeparator" w:id="0">
    <w:p w14:paraId="51FE6CF2" w14:textId="77777777" w:rsidR="00634779" w:rsidRDefault="00634779" w:rsidP="000A3AA4">
      <w:r>
        <w:continuationSeparator/>
      </w:r>
    </w:p>
  </w:footnote>
  <w:footnote w:id="1">
    <w:p w14:paraId="5091C163" w14:textId="550720D2" w:rsidR="00F8733A" w:rsidRDefault="006B5EE8">
      <w:pPr>
        <w:pStyle w:val="FootnoteText"/>
      </w:pPr>
      <w:r>
        <w:t>*</w:t>
      </w:r>
      <w:r w:rsidR="00464F21">
        <w:t>Senior policy</w:t>
      </w:r>
      <w:r w:rsidR="00CD7050">
        <w:t xml:space="preserve"> and technical adviser, Her Majesty’s Revenue and Customs</w:t>
      </w:r>
      <w:r w:rsidR="000F12C8">
        <w:t>.  The views</w:t>
      </w:r>
      <w:r w:rsidR="00E232DE">
        <w:t xml:space="preserve"> expressed</w:t>
      </w:r>
      <w:r w:rsidR="000F12C8">
        <w:t xml:space="preserve"> are not necessarily those of the Commissioners for Revenue </w:t>
      </w:r>
      <w:r w:rsidR="00BE42EB">
        <w:t>and</w:t>
      </w:r>
      <w:r w:rsidR="000F12C8">
        <w:t xml:space="preserve"> Customs.</w:t>
      </w:r>
    </w:p>
    <w:p w14:paraId="0887D51D" w14:textId="6C3B5757" w:rsidR="00581E86" w:rsidRDefault="00581E86">
      <w:pPr>
        <w:pStyle w:val="FootnoteText"/>
      </w:pPr>
      <w:r>
        <w:rPr>
          <w:rStyle w:val="FootnoteReference"/>
        </w:rPr>
        <w:footnoteRef/>
      </w:r>
      <w:r>
        <w:t xml:space="preserve"> </w:t>
      </w:r>
      <w:r w:rsidR="00BD5F54">
        <w:t>[192</w:t>
      </w:r>
      <w:r w:rsidR="00DA11A7">
        <w:t>0] UKHL 386</w:t>
      </w:r>
      <w:r w:rsidR="0099154B">
        <w:t>;</w:t>
      </w:r>
      <w:r w:rsidR="00DC2108">
        <w:t xml:space="preserve"> 7 TC </w:t>
      </w:r>
      <w:r w:rsidR="00225E8F">
        <w:t xml:space="preserve">419 at </w:t>
      </w:r>
      <w:r w:rsidR="001521E0">
        <w:t>431</w:t>
      </w:r>
      <w:r w:rsidR="00095946">
        <w:t xml:space="preserve">.   Not to be confused with </w:t>
      </w:r>
      <w:r w:rsidR="00095946" w:rsidRPr="0062517D">
        <w:rPr>
          <w:i/>
          <w:iCs/>
        </w:rPr>
        <w:t>Williams v Singer</w:t>
      </w:r>
      <w:r w:rsidR="00CD6283">
        <w:t xml:space="preserve"> [1920] UKHL 2</w:t>
      </w:r>
      <w:r w:rsidR="00CE75AA">
        <w:t xml:space="preserve">, </w:t>
      </w:r>
      <w:r w:rsidR="004029B8">
        <w:t>which concerned</w:t>
      </w:r>
      <w:r w:rsidR="00BA3DC5">
        <w:t xml:space="preserve"> the </w:t>
      </w:r>
      <w:r w:rsidR="00B40787">
        <w:t>assess</w:t>
      </w:r>
      <w:r w:rsidR="009E2B0B">
        <w:t>a</w:t>
      </w:r>
      <w:r w:rsidR="00B40787">
        <w:t>bility of trustees and beneficiaries</w:t>
      </w:r>
      <w:r w:rsidR="0062517D">
        <w:t>.</w:t>
      </w:r>
      <w:r w:rsidR="002B5E07">
        <w:t xml:space="preserve">  See</w:t>
      </w:r>
      <w:r w:rsidR="002E2B0B">
        <w:t xml:space="preserve"> </w:t>
      </w:r>
      <w:r w:rsidR="006E72E4">
        <w:t>‘</w:t>
      </w:r>
      <w:r w:rsidR="002E2B0B">
        <w:t>Seven appeals and an acquittal</w:t>
      </w:r>
      <w:r w:rsidR="007265DA">
        <w:t xml:space="preserve">: the Singer family and </w:t>
      </w:r>
      <w:r w:rsidR="00366BDC">
        <w:t>t</w:t>
      </w:r>
      <w:r w:rsidR="007265DA">
        <w:t>heir tax cases</w:t>
      </w:r>
      <w:r w:rsidR="003C7025">
        <w:t>’</w:t>
      </w:r>
      <w:r w:rsidR="00366BDC">
        <w:t>, D</w:t>
      </w:r>
      <w:r w:rsidR="004E612D">
        <w:t xml:space="preserve">avid Parrott and John F Avery Jones, </w:t>
      </w:r>
      <w:r w:rsidR="00691CFF">
        <w:t>BTR 2008</w:t>
      </w:r>
      <w:r w:rsidR="00787A05">
        <w:t>, 1, 56-94</w:t>
      </w:r>
      <w:r w:rsidR="00825E79">
        <w:t>.</w:t>
      </w:r>
    </w:p>
  </w:footnote>
  <w:footnote w:id="2">
    <w:p w14:paraId="6AF80BAB" w14:textId="57432AA2" w:rsidR="00977ED4" w:rsidRDefault="00977ED4">
      <w:pPr>
        <w:pStyle w:val="FootnoteText"/>
      </w:pPr>
      <w:r>
        <w:rPr>
          <w:rStyle w:val="FootnoteReference"/>
        </w:rPr>
        <w:footnoteRef/>
      </w:r>
      <w:r>
        <w:t xml:space="preserve"> </w:t>
      </w:r>
      <w:r w:rsidR="00DE34D4">
        <w:t>Sewing machine.</w:t>
      </w:r>
    </w:p>
  </w:footnote>
  <w:footnote w:id="3">
    <w:p w14:paraId="419C0211" w14:textId="5EE70313" w:rsidR="007B6E90" w:rsidRDefault="007B6E90">
      <w:pPr>
        <w:pStyle w:val="FootnoteText"/>
      </w:pPr>
      <w:r>
        <w:rPr>
          <w:rStyle w:val="FootnoteReference"/>
        </w:rPr>
        <w:footnoteRef/>
      </w:r>
      <w:r>
        <w:t xml:space="preserve"> Case</w:t>
      </w:r>
      <w:r w:rsidR="00B76B5F">
        <w:t>s IV and V of Schedule D ended their li</w:t>
      </w:r>
      <w:r w:rsidR="005F5AD4">
        <w:t xml:space="preserve">fe </w:t>
      </w:r>
      <w:r w:rsidR="00377738">
        <w:t>within</w:t>
      </w:r>
      <w:r w:rsidR="005F5AD4">
        <w:t xml:space="preserve"> section 18(3) Income and Corporation Taxes Act 1988, before being rewritten under the Tax Law Rewrite project.</w:t>
      </w:r>
    </w:p>
  </w:footnote>
  <w:footnote w:id="4">
    <w:p w14:paraId="4B08E7C3" w14:textId="4E7369E8" w:rsidR="00F866C1" w:rsidRDefault="00F866C1">
      <w:pPr>
        <w:pStyle w:val="FootnoteText"/>
      </w:pPr>
      <w:r>
        <w:rPr>
          <w:rStyle w:val="FootnoteReference"/>
        </w:rPr>
        <w:footnoteRef/>
      </w:r>
      <w:r>
        <w:t xml:space="preserve"> The author recollects sharing a room in Somerset House, then Inland Revenue headquarters, around 1990 with an officer who had the responsibility of certifying whether instruments were securities for a certain purpose.  Asked whether securities included shares, he said ‘that’s a very interesting question’.  Which he did not answer.</w:t>
      </w:r>
    </w:p>
  </w:footnote>
  <w:footnote w:id="5">
    <w:p w14:paraId="29796318" w14:textId="4B788FF0" w:rsidR="00F72D31" w:rsidRDefault="00F72D31">
      <w:pPr>
        <w:pStyle w:val="FootnoteText"/>
      </w:pPr>
      <w:r>
        <w:rPr>
          <w:rStyle w:val="FootnoteReference"/>
        </w:rPr>
        <w:footnoteRef/>
      </w:r>
      <w:r>
        <w:t xml:space="preserve"> Ch 1 </w:t>
      </w:r>
      <w:r w:rsidR="00163F3E">
        <w:t>pt</w:t>
      </w:r>
      <w:r>
        <w:t xml:space="preserve"> 13</w:t>
      </w:r>
      <w:r w:rsidR="00FC6A54">
        <w:t xml:space="preserve"> Income Tax Act 2007.</w:t>
      </w:r>
    </w:p>
  </w:footnote>
  <w:footnote w:id="6">
    <w:p w14:paraId="394251C6" w14:textId="1C9A2607" w:rsidR="00924B9F" w:rsidRDefault="00924B9F">
      <w:pPr>
        <w:pStyle w:val="FootnoteText"/>
      </w:pPr>
      <w:r>
        <w:rPr>
          <w:rStyle w:val="FootnoteReference"/>
        </w:rPr>
        <w:footnoteRef/>
      </w:r>
      <w:r>
        <w:t xml:space="preserve"> Along with many trainee tax in</w:t>
      </w:r>
      <w:r w:rsidR="00986517">
        <w:t>spectors in the days before Tax Law Rewrite</w:t>
      </w:r>
      <w:r w:rsidR="00D60E1C">
        <w:t>.</w:t>
      </w:r>
    </w:p>
  </w:footnote>
  <w:footnote w:id="7">
    <w:p w14:paraId="06AEB6B5" w14:textId="34439F3E" w:rsidR="00402F5F" w:rsidRDefault="00402F5F">
      <w:pPr>
        <w:pStyle w:val="FootnoteText"/>
      </w:pPr>
      <w:r>
        <w:rPr>
          <w:rStyle w:val="FootnoteReference"/>
        </w:rPr>
        <w:footnoteRef/>
      </w:r>
      <w:r>
        <w:t xml:space="preserve"> His Lordship might have said 1803</w:t>
      </w:r>
      <w:r w:rsidR="00857154">
        <w:t xml:space="preserve">, since Peel’s 1842 </w:t>
      </w:r>
      <w:r w:rsidR="008A2464">
        <w:t xml:space="preserve">act </w:t>
      </w:r>
      <w:r w:rsidR="003B0C33">
        <w:t>(</w:t>
      </w:r>
      <w:r w:rsidR="003B0C33" w:rsidRPr="003B0C33">
        <w:t>5 &amp; 6 Vict c</w:t>
      </w:r>
      <w:r w:rsidR="003B0C33">
        <w:t xml:space="preserve"> </w:t>
      </w:r>
      <w:r w:rsidR="003B0C33" w:rsidRPr="003B0C33">
        <w:t>35</w:t>
      </w:r>
      <w:r w:rsidR="003B0C33">
        <w:t xml:space="preserve">) </w:t>
      </w:r>
      <w:r w:rsidR="00857154">
        <w:t xml:space="preserve">was largely a re-enactment of Addington’s </w:t>
      </w:r>
      <w:r w:rsidR="00097BA2">
        <w:t>Schedules and Cases</w:t>
      </w:r>
      <w:r w:rsidR="0008206E">
        <w:t xml:space="preserve"> set out originally</w:t>
      </w:r>
      <w:r w:rsidR="00FD4414">
        <w:t xml:space="preserve"> in an act of </w:t>
      </w:r>
      <w:r w:rsidR="00857154">
        <w:t>1803</w:t>
      </w:r>
      <w:r w:rsidR="00272FDB">
        <w:t xml:space="preserve"> </w:t>
      </w:r>
      <w:r w:rsidR="00CF2FB5">
        <w:t>(</w:t>
      </w:r>
      <w:r w:rsidR="00CF2FB5" w:rsidRPr="00CF2FB5">
        <w:t xml:space="preserve">43 Geo </w:t>
      </w:r>
      <w:r w:rsidR="00864B6C">
        <w:t>3</w:t>
      </w:r>
      <w:r w:rsidR="00CF2FB5" w:rsidRPr="00CF2FB5">
        <w:t xml:space="preserve"> c 122</w:t>
      </w:r>
      <w:r w:rsidR="00CF2FB5">
        <w:t xml:space="preserve">) </w:t>
      </w:r>
      <w:r w:rsidR="004E318F">
        <w:t>subject to</w:t>
      </w:r>
      <w:r w:rsidR="00272FDB">
        <w:t xml:space="preserve"> fairly minor</w:t>
      </w:r>
      <w:r w:rsidR="00AE3AA6">
        <w:t xml:space="preserve"> </w:t>
      </w:r>
      <w:r w:rsidR="00EB3A0D">
        <w:t>developments</w:t>
      </w:r>
      <w:r w:rsidR="00AE3AA6">
        <w:t xml:space="preserve"> when </w:t>
      </w:r>
      <w:r w:rsidR="00CB03A1">
        <w:t>the income tax code</w:t>
      </w:r>
      <w:r w:rsidR="00AE3AA6">
        <w:t xml:space="preserve"> was repealed in 1816</w:t>
      </w:r>
      <w:r w:rsidR="00B02FB6">
        <w:t xml:space="preserve"> following the end o</w:t>
      </w:r>
      <w:r w:rsidR="004E318F">
        <w:t>f</w:t>
      </w:r>
      <w:r w:rsidR="00B02FB6">
        <w:t xml:space="preserve"> the Napoleonic wars.</w:t>
      </w:r>
      <w:r w:rsidR="007B1D17">
        <w:t xml:space="preserve">  See </w:t>
      </w:r>
      <w:r w:rsidR="004B6500">
        <w:t>followi</w:t>
      </w:r>
      <w:r w:rsidR="005936BA">
        <w:t>ng text</w:t>
      </w:r>
      <w:r w:rsidR="004B6500">
        <w:t>.</w:t>
      </w:r>
    </w:p>
  </w:footnote>
  <w:footnote w:id="8">
    <w:p w14:paraId="59E327B9" w14:textId="446E1D75" w:rsidR="009D52BE" w:rsidRDefault="009D52BE">
      <w:pPr>
        <w:pStyle w:val="FootnoteText"/>
      </w:pPr>
      <w:r>
        <w:rPr>
          <w:rStyle w:val="FootnoteReference"/>
        </w:rPr>
        <w:footnoteRef/>
      </w:r>
      <w:r>
        <w:t xml:space="preserve"> 46 Geo III c</w:t>
      </w:r>
      <w:r w:rsidR="000E5B38">
        <w:t xml:space="preserve"> </w:t>
      </w:r>
      <w:r w:rsidR="00CF7184">
        <w:t>65.</w:t>
      </w:r>
    </w:p>
  </w:footnote>
  <w:footnote w:id="9">
    <w:p w14:paraId="4626E989" w14:textId="6963A67B" w:rsidR="00C109B1" w:rsidRDefault="00C109B1">
      <w:pPr>
        <w:pStyle w:val="FootnoteText"/>
      </w:pPr>
      <w:r>
        <w:rPr>
          <w:rStyle w:val="FootnoteReference"/>
        </w:rPr>
        <w:footnoteRef/>
      </w:r>
      <w:r>
        <w:t xml:space="preserve"> </w:t>
      </w:r>
      <w:r w:rsidR="005771F3">
        <w:t>[1895] 2 QB 589.</w:t>
      </w:r>
    </w:p>
  </w:footnote>
  <w:footnote w:id="10">
    <w:p w14:paraId="0E6EE4D6" w14:textId="496404F6" w:rsidR="00126FBF" w:rsidRDefault="00126FBF">
      <w:pPr>
        <w:pStyle w:val="FootnoteText"/>
      </w:pPr>
      <w:r>
        <w:rPr>
          <w:rStyle w:val="FootnoteReference"/>
        </w:rPr>
        <w:footnoteRef/>
      </w:r>
      <w:r>
        <w:t xml:space="preserve"> </w:t>
      </w:r>
      <w:r w:rsidR="00784AAD">
        <w:t xml:space="preserve">(1971) </w:t>
      </w:r>
      <w:r w:rsidR="00A33975">
        <w:t>47TC</w:t>
      </w:r>
      <w:r w:rsidR="0082542A">
        <w:t>300.</w:t>
      </w:r>
    </w:p>
  </w:footnote>
  <w:footnote w:id="11">
    <w:p w14:paraId="08709030" w14:textId="5070180D" w:rsidR="005448A4" w:rsidRDefault="005448A4" w:rsidP="00321B86">
      <w:pPr>
        <w:pStyle w:val="FootnoteText"/>
        <w:spacing w:before="240"/>
        <w:ind w:left="720" w:firstLine="0"/>
      </w:pPr>
      <w:r>
        <w:rPr>
          <w:rStyle w:val="FootnoteReference"/>
        </w:rPr>
        <w:footnoteRef/>
      </w:r>
      <w:r>
        <w:t xml:space="preserve"> </w:t>
      </w:r>
      <w:r w:rsidR="008B6679">
        <w:t xml:space="preserve">The famous ‘Ramsay principle’ case </w:t>
      </w:r>
      <w:r w:rsidR="00D7394B">
        <w:t>(1981) 54TC101.</w:t>
      </w:r>
    </w:p>
  </w:footnote>
  <w:footnote w:id="12">
    <w:p w14:paraId="63297966" w14:textId="52517C85" w:rsidR="002614B1" w:rsidRDefault="002614B1">
      <w:pPr>
        <w:pStyle w:val="FootnoteText"/>
      </w:pPr>
      <w:r>
        <w:rPr>
          <w:rStyle w:val="FootnoteReference"/>
        </w:rPr>
        <w:footnoteRef/>
      </w:r>
      <w:r>
        <w:t xml:space="preserve"> There is a parallel here </w:t>
      </w:r>
      <w:r w:rsidR="00A92EF6">
        <w:t>with</w:t>
      </w:r>
      <w:r w:rsidR="00755B43">
        <w:t xml:space="preserve"> shares in companies</w:t>
      </w:r>
      <w:r w:rsidR="000A696E">
        <w:t xml:space="preserve">, which include any interest </w:t>
      </w:r>
      <w:r w:rsidR="008B6679">
        <w:t>o</w:t>
      </w:r>
      <w:r w:rsidR="000A696E">
        <w:t xml:space="preserve">f a member in a company </w:t>
      </w:r>
      <w:r w:rsidR="002733F3">
        <w:t>for the purposes of company distribution</w:t>
      </w:r>
      <w:r w:rsidR="008B6679">
        <w:t>s</w:t>
      </w:r>
      <w:r w:rsidR="002733F3">
        <w:t xml:space="preserve"> (section</w:t>
      </w:r>
      <w:r w:rsidR="00DE7A82">
        <w:t xml:space="preserve"> 1117(1)</w:t>
      </w:r>
      <w:r w:rsidR="009B4C75">
        <w:t xml:space="preserve"> CTA 2010)</w:t>
      </w:r>
      <w:r w:rsidR="00146880">
        <w:t xml:space="preserve"> but the issue of a share certificate is not essential</w:t>
      </w:r>
      <w:r w:rsidR="00F7592E">
        <w:t>, subject to Companies Act</w:t>
      </w:r>
      <w:r w:rsidR="00DF652B">
        <w:t xml:space="preserve"> provisions for Companies Act companies</w:t>
      </w:r>
      <w:r w:rsidR="00832A8B">
        <w:t xml:space="preserve"> or other relevant</w:t>
      </w:r>
      <w:r w:rsidR="00BE10CC">
        <w:t xml:space="preserve"> company law</w:t>
      </w:r>
      <w:r w:rsidR="00DF652B">
        <w:t>.</w:t>
      </w:r>
      <w:r w:rsidR="005F2CAE">
        <w:t xml:space="preserve">  See the discussion at CTM</w:t>
      </w:r>
      <w:r w:rsidR="005515C9">
        <w:t>0051</w:t>
      </w:r>
      <w:r w:rsidR="00090C18">
        <w:t>3</w:t>
      </w:r>
      <w:r w:rsidR="005515C9">
        <w:t xml:space="preserve"> in HM</w:t>
      </w:r>
      <w:r w:rsidR="00A20BC5">
        <w:t xml:space="preserve"> </w:t>
      </w:r>
      <w:r w:rsidR="004C4254">
        <w:t>R</w:t>
      </w:r>
      <w:r w:rsidR="00A20BC5">
        <w:t xml:space="preserve">evenue and </w:t>
      </w:r>
      <w:r w:rsidR="005515C9">
        <w:t>C</w:t>
      </w:r>
      <w:r w:rsidR="00A20BC5">
        <w:t>ustom</w:t>
      </w:r>
      <w:r w:rsidR="00694BFB">
        <w:t>s</w:t>
      </w:r>
      <w:r w:rsidR="005515C9">
        <w:t>’</w:t>
      </w:r>
      <w:r w:rsidR="000E408B">
        <w:t xml:space="preserve"> (HMRC)</w:t>
      </w:r>
      <w:r w:rsidR="005515C9">
        <w:t xml:space="preserve"> Company Taxation Manual.</w:t>
      </w:r>
    </w:p>
  </w:footnote>
  <w:footnote w:id="13">
    <w:p w14:paraId="6E8F2268" w14:textId="4CA1E6F3" w:rsidR="004E4990" w:rsidRDefault="004E4990">
      <w:pPr>
        <w:pStyle w:val="FootnoteText"/>
      </w:pPr>
      <w:r>
        <w:rPr>
          <w:rStyle w:val="FootnoteReference"/>
        </w:rPr>
        <w:footnoteRef/>
      </w:r>
      <w:r>
        <w:t xml:space="preserve"> </w:t>
      </w:r>
      <w:r w:rsidR="00C1394A">
        <w:t xml:space="preserve">(1990) </w:t>
      </w:r>
      <w:r>
        <w:t>63TC41</w:t>
      </w:r>
      <w:r w:rsidR="008D0C6B">
        <w:t>.</w:t>
      </w:r>
    </w:p>
  </w:footnote>
  <w:footnote w:id="14">
    <w:p w14:paraId="16D0909D" w14:textId="2EE18C93" w:rsidR="00B80534" w:rsidRDefault="00B80534">
      <w:pPr>
        <w:pStyle w:val="FootnoteText"/>
      </w:pPr>
      <w:r>
        <w:rPr>
          <w:rStyle w:val="FootnoteReference"/>
        </w:rPr>
        <w:footnoteRef/>
      </w:r>
      <w:r>
        <w:t xml:space="preserve"> </w:t>
      </w:r>
      <w:r w:rsidR="00A2095B">
        <w:t>(1966) 43TC396.</w:t>
      </w:r>
    </w:p>
  </w:footnote>
  <w:footnote w:id="15">
    <w:p w14:paraId="3D7F727A" w14:textId="07E1D214" w:rsidR="00D96BA7" w:rsidRDefault="00D96BA7">
      <w:pPr>
        <w:pStyle w:val="FootnoteText"/>
      </w:pPr>
      <w:r>
        <w:rPr>
          <w:rStyle w:val="FootnoteReference"/>
        </w:rPr>
        <w:footnoteRef/>
      </w:r>
      <w:r>
        <w:t xml:space="preserve"> Now reflected in the transactions in securities legislation referred to in ‘</w:t>
      </w:r>
      <w:r w:rsidR="007F25E7">
        <w:t>T</w:t>
      </w:r>
      <w:r>
        <w:t>ax definitions’ above.</w:t>
      </w:r>
    </w:p>
  </w:footnote>
  <w:footnote w:id="16">
    <w:p w14:paraId="6C7C3B98" w14:textId="7AAA42F5" w:rsidR="008C7710" w:rsidRPr="00BB4866" w:rsidRDefault="008C7710" w:rsidP="00BB4866">
      <w:pPr>
        <w:pStyle w:val="FootnoteText"/>
        <w:ind w:left="720" w:firstLine="0"/>
        <w:rPr>
          <w:b/>
          <w:bCs/>
        </w:rPr>
      </w:pPr>
      <w:r>
        <w:rPr>
          <w:rStyle w:val="FootnoteReference"/>
        </w:rPr>
        <w:footnoteRef/>
      </w:r>
      <w:r>
        <w:t xml:space="preserve"> [</w:t>
      </w:r>
      <w:r w:rsidRPr="002F3278">
        <w:t>2003]</w:t>
      </w:r>
      <w:r w:rsidR="0070107F">
        <w:t xml:space="preserve"> </w:t>
      </w:r>
      <w:r w:rsidR="00BB4866" w:rsidRPr="002F3278">
        <w:t>BTC</w:t>
      </w:r>
      <w:r w:rsidR="002F3278" w:rsidRPr="002F3278">
        <w:t>385.</w:t>
      </w:r>
    </w:p>
  </w:footnote>
  <w:footnote w:id="17">
    <w:p w14:paraId="579F68E0" w14:textId="245AE299" w:rsidR="004C4CBF" w:rsidRDefault="004C4CBF">
      <w:pPr>
        <w:pStyle w:val="FootnoteText"/>
      </w:pPr>
      <w:r>
        <w:rPr>
          <w:rStyle w:val="FootnoteReference"/>
        </w:rPr>
        <w:footnoteRef/>
      </w:r>
      <w:r>
        <w:t xml:space="preserve"> Debenture</w:t>
      </w:r>
      <w:r w:rsidR="00B65E4B">
        <w:t xml:space="preserve"> is one of the limited set of words which</w:t>
      </w:r>
      <w:r w:rsidR="00E6590F">
        <w:t xml:space="preserve"> are generally used to mean significantly different things</w:t>
      </w:r>
      <w:r w:rsidR="00732415">
        <w:t xml:space="preserve"> </w:t>
      </w:r>
      <w:r w:rsidR="00E75C94">
        <w:t>o</w:t>
      </w:r>
      <w:r w:rsidR="00732415">
        <w:t>n opposite sides of the Atlantic.</w:t>
      </w:r>
      <w:r w:rsidR="00A45567">
        <w:t xml:space="preserve">  Usage </w:t>
      </w:r>
      <w:r w:rsidR="00F20470">
        <w:t xml:space="preserve">in the United States </w:t>
      </w:r>
      <w:r w:rsidR="00A45567">
        <w:t>generally connotes</w:t>
      </w:r>
      <w:r w:rsidR="00CB48B5">
        <w:t xml:space="preserve"> a bond which is unsecured</w:t>
      </w:r>
      <w:r w:rsidR="002B4C4B">
        <w:t xml:space="preserve">, while in British usage it is </w:t>
      </w:r>
      <w:r w:rsidR="00C2710A">
        <w:t xml:space="preserve">generally </w:t>
      </w:r>
      <w:r w:rsidR="002B4C4B">
        <w:t>one secured by company assets.</w:t>
      </w:r>
    </w:p>
  </w:footnote>
  <w:footnote w:id="18">
    <w:p w14:paraId="245A32FD" w14:textId="38367D39" w:rsidR="00EE45DD" w:rsidRDefault="00EE45DD">
      <w:pPr>
        <w:pStyle w:val="FootnoteText"/>
      </w:pPr>
      <w:r>
        <w:rPr>
          <w:rStyle w:val="FootnoteReference"/>
        </w:rPr>
        <w:footnoteRef/>
      </w:r>
      <w:r>
        <w:t xml:space="preserve"> OED Third Edition, September 2011</w:t>
      </w:r>
      <w:r w:rsidR="007332B4">
        <w:t xml:space="preserve">, </w:t>
      </w:r>
      <w:r w:rsidR="00150972">
        <w:t>published online March 2022.</w:t>
      </w:r>
    </w:p>
  </w:footnote>
  <w:footnote w:id="19">
    <w:p w14:paraId="05DCB18B" w14:textId="713F0630" w:rsidR="008B6679" w:rsidRDefault="008B6679">
      <w:pPr>
        <w:pStyle w:val="FootnoteText"/>
      </w:pPr>
      <w:r>
        <w:rPr>
          <w:rStyle w:val="FootnoteReference"/>
        </w:rPr>
        <w:footnoteRef/>
      </w:r>
      <w:r>
        <w:t xml:space="preserve"> This is reflected in the securities issued by a company, a liability in its balance sheet, and the correlative security held against them, an asset.</w:t>
      </w:r>
    </w:p>
  </w:footnote>
  <w:footnote w:id="20">
    <w:p w14:paraId="3CD09C8D" w14:textId="6D4BF4E9" w:rsidR="00185052" w:rsidRDefault="00185052">
      <w:pPr>
        <w:pStyle w:val="FootnoteText"/>
      </w:pPr>
      <w:r>
        <w:rPr>
          <w:rStyle w:val="FootnoteReference"/>
        </w:rPr>
        <w:footnoteRef/>
      </w:r>
      <w:r>
        <w:t xml:space="preserve"> </w:t>
      </w:r>
      <w:r w:rsidR="00123793">
        <w:t>Me</w:t>
      </w:r>
      <w:r w:rsidR="002C4543">
        <w:t>e</w:t>
      </w:r>
      <w:r w:rsidR="00123793">
        <w:t xml:space="preserve">kness, </w:t>
      </w:r>
      <w:r w:rsidR="005F29CF">
        <w:t>soberne</w:t>
      </w:r>
      <w:r w:rsidR="003A11DB">
        <w:t>ss, security</w:t>
      </w:r>
      <w:r w:rsidR="00277C5B">
        <w:t xml:space="preserve"> and rest love well the company of</w:t>
      </w:r>
      <w:r w:rsidR="00796711">
        <w:t xml:space="preserve"> </w:t>
      </w:r>
      <w:r w:rsidR="00130708">
        <w:t>s</w:t>
      </w:r>
      <w:r w:rsidR="00796711">
        <w:t>imple poverty.</w:t>
      </w:r>
      <w:r w:rsidR="0006537A">
        <w:t xml:space="preserve">  The </w:t>
      </w:r>
      <w:r w:rsidR="0006537A" w:rsidRPr="00737513">
        <w:rPr>
          <w:i/>
          <w:iCs/>
        </w:rPr>
        <w:t xml:space="preserve">Oxford Middle English </w:t>
      </w:r>
      <w:r w:rsidR="00AB5E15" w:rsidRPr="00737513">
        <w:rPr>
          <w:i/>
          <w:iCs/>
        </w:rPr>
        <w:t>Dictionary</w:t>
      </w:r>
      <w:r w:rsidR="00326648">
        <w:t xml:space="preserve"> suggest</w:t>
      </w:r>
      <w:r w:rsidR="006C56A4">
        <w:t>s</w:t>
      </w:r>
      <w:r w:rsidR="00326648">
        <w:t xml:space="preserve"> this usage of</w:t>
      </w:r>
      <w:r w:rsidR="0065361E">
        <w:t xml:space="preserve"> loue</w:t>
      </w:r>
      <w:r w:rsidR="006C56A4">
        <w:t xml:space="preserve"> is erroneous.</w:t>
      </w:r>
      <w:r w:rsidR="000F2427">
        <w:t xml:space="preserve">  </w:t>
      </w:r>
      <w:bookmarkStart w:id="2" w:name="_Hlk102581724"/>
      <w:r w:rsidR="00827FF4">
        <w:t>‘</w:t>
      </w:r>
      <w:r w:rsidR="000F2427" w:rsidRPr="000F2427">
        <w:t>þ</w:t>
      </w:r>
      <w:bookmarkEnd w:id="2"/>
      <w:r w:rsidR="000F2427" w:rsidRPr="000F2427">
        <w:t>e</w:t>
      </w:r>
      <w:r w:rsidR="00827FF4">
        <w:t>’</w:t>
      </w:r>
      <w:r w:rsidR="003C5E6C">
        <w:t xml:space="preserve"> means </w:t>
      </w:r>
      <w:r w:rsidR="00F80E6F">
        <w:t>‘</w:t>
      </w:r>
      <w:r w:rsidR="003C5E6C">
        <w:t>the</w:t>
      </w:r>
      <w:r w:rsidR="00F80E6F">
        <w:t>’</w:t>
      </w:r>
      <w:r w:rsidR="003C5E6C">
        <w:t xml:space="preserve"> as it contains the </w:t>
      </w:r>
      <w:r w:rsidR="004D05DC">
        <w:t>Anglo-</w:t>
      </w:r>
      <w:r w:rsidR="00693017">
        <w:t xml:space="preserve">Saxon symbol or letter </w:t>
      </w:r>
      <w:r w:rsidR="00F62C72">
        <w:t>‘</w:t>
      </w:r>
      <w:r w:rsidR="00693017">
        <w:t>thorn</w:t>
      </w:r>
      <w:r w:rsidR="00F62C72">
        <w:t>’</w:t>
      </w:r>
      <w:r w:rsidR="006D411B">
        <w:t>,</w:t>
      </w:r>
      <w:r w:rsidR="006D411B" w:rsidRPr="000F2427">
        <w:t>þ</w:t>
      </w:r>
      <w:r w:rsidR="009F53AF">
        <w:t xml:space="preserve">, which makes a </w:t>
      </w:r>
      <w:r w:rsidR="00852DFF">
        <w:t>‘</w:t>
      </w:r>
      <w:r w:rsidR="009F53AF">
        <w:t>th</w:t>
      </w:r>
      <w:r w:rsidR="00852DFF">
        <w:t>’</w:t>
      </w:r>
      <w:r w:rsidR="009F53AF">
        <w:t xml:space="preserve"> sound</w:t>
      </w:r>
      <w:r w:rsidR="00D237D5">
        <w:t>, giving</w:t>
      </w:r>
      <w:r w:rsidR="00992309">
        <w:t xml:space="preserve"> rise to </w:t>
      </w:r>
      <w:r w:rsidR="00376D89">
        <w:t xml:space="preserve">the error </w:t>
      </w:r>
      <w:r w:rsidR="00852DFF">
        <w:t>‘</w:t>
      </w:r>
      <w:r w:rsidR="00376D89">
        <w:t>ye olde</w:t>
      </w:r>
      <w:r w:rsidR="00355010">
        <w:t>’</w:t>
      </w:r>
      <w:r w:rsidR="004204F1">
        <w:t xml:space="preserve"> </w:t>
      </w:r>
      <w:r w:rsidR="00732B5B">
        <w:t>pronounced with a</w:t>
      </w:r>
      <w:r w:rsidR="003D3CC1">
        <w:t xml:space="preserve"> </w:t>
      </w:r>
      <w:r w:rsidR="00355010">
        <w:t>‘</w:t>
      </w:r>
      <w:r w:rsidR="003D3CC1">
        <w:t>y</w:t>
      </w:r>
      <w:r w:rsidR="00355010">
        <w:t>’</w:t>
      </w:r>
      <w:r w:rsidR="00376D89">
        <w:t xml:space="preserve"> beloved of licensed establishments.</w:t>
      </w:r>
    </w:p>
  </w:footnote>
  <w:footnote w:id="21">
    <w:p w14:paraId="3455BAE5" w14:textId="789F9009" w:rsidR="00B84FD2" w:rsidRDefault="00B84FD2">
      <w:pPr>
        <w:pStyle w:val="FootnoteText"/>
      </w:pPr>
      <w:r>
        <w:rPr>
          <w:rStyle w:val="FootnoteReference"/>
        </w:rPr>
        <w:footnoteRef/>
      </w:r>
      <w:r>
        <w:t xml:space="preserve"> </w:t>
      </w:r>
      <w:r w:rsidR="007F0AF5">
        <w:t>W</w:t>
      </w:r>
      <w:r w:rsidR="00510260">
        <w:t>.</w:t>
      </w:r>
      <w:r w:rsidR="007F0AF5">
        <w:t xml:space="preserve"> Arthur and</w:t>
      </w:r>
      <w:r w:rsidR="00510260">
        <w:t xml:space="preserve"> H. Charteris, Rollock</w:t>
      </w:r>
      <w:r w:rsidR="00504192">
        <w:t xml:space="preserve">’s Lect. </w:t>
      </w:r>
      <w:r w:rsidR="00E81760" w:rsidRPr="008D18DE">
        <w:rPr>
          <w:i/>
          <w:iCs/>
        </w:rPr>
        <w:t>1</w:t>
      </w:r>
      <w:r w:rsidR="00504192" w:rsidRPr="008D18DE">
        <w:rPr>
          <w:i/>
          <w:iCs/>
        </w:rPr>
        <w:t>st and</w:t>
      </w:r>
      <w:r w:rsidR="00E81760" w:rsidRPr="008D18DE">
        <w:rPr>
          <w:i/>
          <w:iCs/>
        </w:rPr>
        <w:t xml:space="preserve"> 2</w:t>
      </w:r>
      <w:r w:rsidR="00594131" w:rsidRPr="008D18DE">
        <w:rPr>
          <w:i/>
          <w:iCs/>
        </w:rPr>
        <w:t>nd</w:t>
      </w:r>
      <w:r w:rsidR="00E81760" w:rsidRPr="008D18DE">
        <w:rPr>
          <w:i/>
          <w:iCs/>
        </w:rPr>
        <w:t xml:space="preserve"> Epist</w:t>
      </w:r>
      <w:r w:rsidR="00594131" w:rsidRPr="008D18DE">
        <w:rPr>
          <w:i/>
          <w:iCs/>
        </w:rPr>
        <w:t>. Paul to Thessalonians</w:t>
      </w:r>
      <w:r w:rsidR="007008BD">
        <w:t xml:space="preserve"> (1 Thess.)</w:t>
      </w:r>
      <w:r w:rsidR="00AA450D">
        <w:t xml:space="preserve"> xvi 200</w:t>
      </w:r>
      <w:r w:rsidR="00781C28">
        <w:t xml:space="preserve">.  </w:t>
      </w:r>
      <w:r w:rsidR="00D51F6F">
        <w:t>Robert</w:t>
      </w:r>
      <w:r w:rsidR="00876CDE">
        <w:t xml:space="preserve"> Rollock lived in the second half of the 16</w:t>
      </w:r>
      <w:r w:rsidR="00876CDE" w:rsidRPr="00876CDE">
        <w:rPr>
          <w:vertAlign w:val="superscript"/>
        </w:rPr>
        <w:t>th</w:t>
      </w:r>
      <w:r w:rsidR="00876CDE">
        <w:t xml:space="preserve"> Century</w:t>
      </w:r>
      <w:r w:rsidR="008C7F43">
        <w:t xml:space="preserve"> and was the first regent and first principal</w:t>
      </w:r>
      <w:r w:rsidR="00761980">
        <w:t xml:space="preserve"> of the University of Edinburgh.  </w:t>
      </w:r>
      <w:r w:rsidR="00781C28">
        <w:t>The fuller quote is</w:t>
      </w:r>
      <w:r w:rsidR="00175344">
        <w:t xml:space="preserve"> </w:t>
      </w:r>
      <w:r w:rsidR="00A014E5">
        <w:t>‘</w:t>
      </w:r>
      <w:r w:rsidR="00175344">
        <w:t>It is not permitted to a King</w:t>
      </w:r>
      <w:r w:rsidR="00885052">
        <w:t>, to eate bread except he labour for it</w:t>
      </w:r>
      <w:r w:rsidR="00FC028D">
        <w:t xml:space="preserve">: </w:t>
      </w:r>
      <w:r w:rsidR="00C46A83">
        <w:t>(</w:t>
      </w:r>
      <w:r w:rsidR="00FC028D">
        <w:t>and surelie</w:t>
      </w:r>
      <w:r w:rsidR="004612CE">
        <w:t xml:space="preserve"> his labou</w:t>
      </w:r>
      <w:r w:rsidR="002D7A3F">
        <w:t>r</w:t>
      </w:r>
      <w:r w:rsidR="00C46A83">
        <w:t xml:space="preserve"> </w:t>
      </w:r>
      <w:r w:rsidR="004612CE">
        <w:t>is an hea</w:t>
      </w:r>
      <w:r w:rsidR="00C46A83">
        <w:t>uie labour</w:t>
      </w:r>
      <w:r w:rsidR="000932C3">
        <w:t>) No, for</w:t>
      </w:r>
      <w:r w:rsidR="00E81760">
        <w:t xml:space="preserve"> </w:t>
      </w:r>
      <w:r w:rsidR="000932C3">
        <w:t xml:space="preserve">al the Warrands, Charters and </w:t>
      </w:r>
      <w:r w:rsidR="00FA7DC9">
        <w:t>S</w:t>
      </w:r>
      <w:r w:rsidR="000932C3">
        <w:t>ecurities, which thou hast of thy lands</w:t>
      </w:r>
      <w:r w:rsidR="00B52CE2">
        <w:t>, be thou Earle</w:t>
      </w:r>
      <w:r w:rsidR="00B70FFB">
        <w:t>, or Lord, or Barron,</w:t>
      </w:r>
      <w:r w:rsidR="005D09C8">
        <w:t xml:space="preserve"> except thou eate the labour of thy owne hands</w:t>
      </w:r>
      <w:r w:rsidR="001B1D12">
        <w:t>, thou eatest not lawfullie</w:t>
      </w:r>
      <w:r w:rsidR="00B2149A">
        <w:t>, but, thy eating is accursed</w:t>
      </w:r>
      <w:r w:rsidR="00AB7CA4">
        <w:t>’</w:t>
      </w:r>
      <w:r w:rsidR="008D18DE">
        <w:t>.</w:t>
      </w:r>
    </w:p>
  </w:footnote>
  <w:footnote w:id="22">
    <w:p w14:paraId="02C47B3B" w14:textId="62276C58" w:rsidR="00C22737" w:rsidRDefault="00C22737">
      <w:pPr>
        <w:pStyle w:val="FootnoteText"/>
      </w:pPr>
      <w:r>
        <w:rPr>
          <w:rStyle w:val="FootnoteReference"/>
        </w:rPr>
        <w:footnoteRef/>
      </w:r>
      <w:r>
        <w:t xml:space="preserve"> </w:t>
      </w:r>
      <w:r w:rsidR="00686E42">
        <w:t>See n</w:t>
      </w:r>
      <w:r w:rsidR="00EC404C">
        <w:t xml:space="preserve"> </w:t>
      </w:r>
      <w:r w:rsidR="00737513">
        <w:t xml:space="preserve">7 </w:t>
      </w:r>
      <w:r w:rsidR="00686E42">
        <w:t>above</w:t>
      </w:r>
      <w:r w:rsidR="00D948C4">
        <w:t>.</w:t>
      </w:r>
    </w:p>
  </w:footnote>
  <w:footnote w:id="23">
    <w:p w14:paraId="2D464E5B" w14:textId="07F9CF3C" w:rsidR="00691511" w:rsidRDefault="00691511">
      <w:pPr>
        <w:pStyle w:val="FootnoteText"/>
      </w:pPr>
      <w:r>
        <w:rPr>
          <w:rStyle w:val="FootnoteReference"/>
        </w:rPr>
        <w:footnoteRef/>
      </w:r>
      <w:r>
        <w:t xml:space="preserve"> 7&amp;8 Vict</w:t>
      </w:r>
      <w:r w:rsidR="00E40ABE">
        <w:t xml:space="preserve"> c 111.</w:t>
      </w:r>
    </w:p>
  </w:footnote>
  <w:footnote w:id="24">
    <w:p w14:paraId="41270E94" w14:textId="245F891A" w:rsidR="009E612E" w:rsidRDefault="009E612E">
      <w:pPr>
        <w:pStyle w:val="FootnoteText"/>
      </w:pPr>
      <w:r>
        <w:rPr>
          <w:rStyle w:val="FootnoteReference"/>
        </w:rPr>
        <w:footnoteRef/>
      </w:r>
      <w:r>
        <w:t xml:space="preserve"> </w:t>
      </w:r>
      <w:r w:rsidR="00553233" w:rsidRPr="00553233">
        <w:t>Liz Mcfall</w:t>
      </w:r>
      <w:r w:rsidR="00AB328D">
        <w:t xml:space="preserve"> (2007)</w:t>
      </w:r>
      <w:r w:rsidR="00553233" w:rsidRPr="00553233">
        <w:t> </w:t>
      </w:r>
      <w:r w:rsidR="00D67929">
        <w:t>‘</w:t>
      </w:r>
      <w:r w:rsidR="00553233" w:rsidRPr="00553233">
        <w:t>T</w:t>
      </w:r>
      <w:r w:rsidR="00D67929">
        <w:t xml:space="preserve">he </w:t>
      </w:r>
      <w:r w:rsidR="00EB0DEE">
        <w:t>D</w:t>
      </w:r>
      <w:r w:rsidR="00D67929">
        <w:t xml:space="preserve">isinterested </w:t>
      </w:r>
      <w:r w:rsidR="00EB0DEE">
        <w:t>S</w:t>
      </w:r>
      <w:r w:rsidR="00D67929">
        <w:t>elf</w:t>
      </w:r>
      <w:r w:rsidR="00A62938">
        <w:t>’</w:t>
      </w:r>
      <w:r w:rsidR="00553233" w:rsidRPr="00553233">
        <w:t>, </w:t>
      </w:r>
      <w:r w:rsidR="00B85CE3">
        <w:rPr>
          <w:i/>
          <w:iCs/>
        </w:rPr>
        <w:t xml:space="preserve">Cultural </w:t>
      </w:r>
      <w:r w:rsidR="00B609F6">
        <w:rPr>
          <w:i/>
          <w:iCs/>
        </w:rPr>
        <w:t>Studies</w:t>
      </w:r>
      <w:r w:rsidR="00553233" w:rsidRPr="00553233">
        <w:t>, 21:4-5, 591-609</w:t>
      </w:r>
      <w:r w:rsidR="002E0966">
        <w:t>.</w:t>
      </w:r>
    </w:p>
  </w:footnote>
  <w:footnote w:id="25">
    <w:p w14:paraId="783601C4" w14:textId="7A5CFEB7" w:rsidR="00C867BF" w:rsidRDefault="00C867BF">
      <w:pPr>
        <w:pStyle w:val="FootnoteText"/>
      </w:pPr>
      <w:r>
        <w:rPr>
          <w:rStyle w:val="FootnoteReference"/>
        </w:rPr>
        <w:footnoteRef/>
      </w:r>
      <w:r>
        <w:t xml:space="preserve"> Company is defined</w:t>
      </w:r>
      <w:r w:rsidR="00BB68D8">
        <w:t xml:space="preserve"> at s 1121</w:t>
      </w:r>
      <w:r w:rsidR="00B12F2D">
        <w:t xml:space="preserve"> CTA 2010 in substance as meaning any body corporat</w:t>
      </w:r>
      <w:r w:rsidR="004254EA">
        <w:t xml:space="preserve">e or unincorporated </w:t>
      </w:r>
      <w:r w:rsidR="007847F3">
        <w:t>association but</w:t>
      </w:r>
      <w:r w:rsidR="00A95CF0">
        <w:t xml:space="preserve"> does not include a partnership</w:t>
      </w:r>
      <w:r w:rsidR="007847F3">
        <w:t>.</w:t>
      </w:r>
      <w:r w:rsidR="002E533A">
        <w:t xml:space="preserve"> </w:t>
      </w:r>
    </w:p>
  </w:footnote>
  <w:footnote w:id="26">
    <w:p w14:paraId="2B2B5178" w14:textId="653EE451" w:rsidR="00F35F2E" w:rsidRDefault="00F35F2E">
      <w:pPr>
        <w:pStyle w:val="FootnoteText"/>
      </w:pPr>
      <w:r>
        <w:rPr>
          <w:rStyle w:val="FootnoteReference"/>
        </w:rPr>
        <w:footnoteRef/>
      </w:r>
      <w:r>
        <w:t xml:space="preserve"> The aim here is to</w:t>
      </w:r>
      <w:r w:rsidR="00195A4C">
        <w:t xml:space="preserve"> address distributions </w:t>
      </w:r>
      <w:r w:rsidR="00FA09C9">
        <w:t xml:space="preserve">of value </w:t>
      </w:r>
      <w:r w:rsidR="00195A4C">
        <w:t>without any</w:t>
      </w:r>
      <w:r w:rsidR="001D6D7B">
        <w:t xml:space="preserve"> </w:t>
      </w:r>
      <w:r w:rsidR="00195A4C">
        <w:t>assets leaving the company</w:t>
      </w:r>
      <w:r w:rsidR="001D6D7B">
        <w:t>, and in the days of payable tax cre</w:t>
      </w:r>
      <w:r w:rsidR="00ED45BA">
        <w:t>dits given to recipients</w:t>
      </w:r>
      <w:r w:rsidR="009B3523">
        <w:t xml:space="preserve"> the distributions were </w:t>
      </w:r>
      <w:r w:rsidR="004F7984">
        <w:t>‘</w:t>
      </w:r>
      <w:r w:rsidR="009B3523">
        <w:t>non-qualifying</w:t>
      </w:r>
      <w:r w:rsidR="004F7984">
        <w:t>’</w:t>
      </w:r>
      <w:r w:rsidR="009B3523">
        <w:t xml:space="preserve"> so they could not give r</w:t>
      </w:r>
      <w:r w:rsidR="00D379C9">
        <w:t>i</w:t>
      </w:r>
      <w:r w:rsidR="009B3523">
        <w:t>se to credits in these circumstances.</w:t>
      </w:r>
    </w:p>
  </w:footnote>
  <w:footnote w:id="27">
    <w:p w14:paraId="110DE1C7" w14:textId="4E216612" w:rsidR="006443B7" w:rsidRDefault="006443B7">
      <w:pPr>
        <w:pStyle w:val="FootnoteText"/>
      </w:pPr>
      <w:r>
        <w:rPr>
          <w:rStyle w:val="FootnoteReference"/>
        </w:rPr>
        <w:footnoteRef/>
      </w:r>
      <w:r>
        <w:t xml:space="preserve"> S 1005 CTA 2010.</w:t>
      </w:r>
    </w:p>
  </w:footnote>
  <w:footnote w:id="28">
    <w:p w14:paraId="10C51A5E" w14:textId="03D6D2A9" w:rsidR="00516616" w:rsidRDefault="001556BF" w:rsidP="00516616">
      <w:pPr>
        <w:pStyle w:val="FootnoteText"/>
      </w:pPr>
      <w:r>
        <w:rPr>
          <w:rStyle w:val="FootnoteReference"/>
        </w:rPr>
        <w:footnoteRef/>
      </w:r>
      <w:r>
        <w:t xml:space="preserve"> </w:t>
      </w:r>
      <w:r w:rsidR="00CF7AC5">
        <w:t>These are defined at s</w:t>
      </w:r>
      <w:r w:rsidR="00304294">
        <w:t>s</w:t>
      </w:r>
      <w:r w:rsidR="0075129C">
        <w:t xml:space="preserve"> 1015 to 1018 CTA 2010 broadly in terms</w:t>
      </w:r>
      <w:r w:rsidR="008029B0">
        <w:t xml:space="preserve"> of equity</w:t>
      </w:r>
      <w:r w:rsidR="00D96FD3">
        <w:t xml:space="preserve">-like characteristics </w:t>
      </w:r>
      <w:r w:rsidR="007768C5">
        <w:t>–</w:t>
      </w:r>
      <w:r w:rsidR="00D96FD3">
        <w:t xml:space="preserve"> </w:t>
      </w:r>
      <w:r w:rsidR="0033542C">
        <w:t>convertible</w:t>
      </w:r>
      <w:r w:rsidR="00C86689">
        <w:t xml:space="preserve"> securities</w:t>
      </w:r>
      <w:r w:rsidR="0033542C">
        <w:t>,</w:t>
      </w:r>
      <w:r w:rsidR="00544EC3">
        <w:t xml:space="preserve"> business results</w:t>
      </w:r>
      <w:r w:rsidR="00B900D2">
        <w:t>-</w:t>
      </w:r>
      <w:r w:rsidR="00544EC3">
        <w:t>dependent</w:t>
      </w:r>
      <w:r w:rsidR="00C86689">
        <w:t xml:space="preserve"> returns</w:t>
      </w:r>
      <w:r w:rsidR="00544EC3">
        <w:t>,</w:t>
      </w:r>
      <w:r w:rsidR="005F6C45">
        <w:t xml:space="preserve"> </w:t>
      </w:r>
      <w:r w:rsidR="00C86689">
        <w:t xml:space="preserve">securities </w:t>
      </w:r>
      <w:r w:rsidR="005F6C45">
        <w:t>connect</w:t>
      </w:r>
      <w:r w:rsidR="00C86689">
        <w:t>ed</w:t>
      </w:r>
      <w:r w:rsidR="005F6C45">
        <w:t xml:space="preserve"> with shares,</w:t>
      </w:r>
      <w:r w:rsidR="00501306">
        <w:t xml:space="preserve"> </w:t>
      </w:r>
      <w:r w:rsidR="00AE1938">
        <w:t>‘</w:t>
      </w:r>
      <w:r w:rsidR="00501306">
        <w:t>equity notes</w:t>
      </w:r>
      <w:r w:rsidR="007C408C">
        <w:t>’</w:t>
      </w:r>
      <w:r w:rsidR="00654839">
        <w:t xml:space="preserve"> as defined.</w:t>
      </w:r>
      <w:r w:rsidR="00516616">
        <w:t xml:space="preserve">  </w:t>
      </w:r>
      <w:r w:rsidR="00B900D2">
        <w:t>Returns on bonus shares are included</w:t>
      </w:r>
      <w:r w:rsidR="004577F4">
        <w:t xml:space="preserve"> in the definition.</w:t>
      </w:r>
    </w:p>
  </w:footnote>
  <w:footnote w:id="29">
    <w:p w14:paraId="21F0EE2E" w14:textId="496E527E" w:rsidR="00392707" w:rsidRDefault="00392707">
      <w:pPr>
        <w:pStyle w:val="FootnoteText"/>
      </w:pPr>
      <w:r>
        <w:rPr>
          <w:rStyle w:val="FootnoteReference"/>
        </w:rPr>
        <w:footnoteRef/>
      </w:r>
      <w:r>
        <w:t xml:space="preserve"> </w:t>
      </w:r>
      <w:r w:rsidR="00A87E7F">
        <w:t xml:space="preserve">Both the </w:t>
      </w:r>
      <w:r w:rsidR="00C849C8">
        <w:t>d</w:t>
      </w:r>
      <w:r w:rsidR="00A87E7F">
        <w:t xml:space="preserve">rafting papers </w:t>
      </w:r>
      <w:r w:rsidR="00C849C8">
        <w:t>of F</w:t>
      </w:r>
      <w:r w:rsidR="00D01DED">
        <w:t>A</w:t>
      </w:r>
      <w:r w:rsidR="00C849C8">
        <w:t xml:space="preserve"> 1965</w:t>
      </w:r>
      <w:r w:rsidR="007A699F">
        <w:t xml:space="preserve"> (TNA </w:t>
      </w:r>
      <w:r w:rsidR="00210788">
        <w:t>IR</w:t>
      </w:r>
      <w:r w:rsidR="0074274B">
        <w:t>40/16687</w:t>
      </w:r>
      <w:r w:rsidR="00D40A9D">
        <w:t>)</w:t>
      </w:r>
      <w:r w:rsidR="00C849C8">
        <w:t xml:space="preserve">, where the </w:t>
      </w:r>
      <w:r w:rsidR="006A5077">
        <w:t xml:space="preserve">company </w:t>
      </w:r>
      <w:r w:rsidR="00C849C8">
        <w:t xml:space="preserve">distributions scheme originated, and the </w:t>
      </w:r>
      <w:r w:rsidR="00981836">
        <w:t>‘</w:t>
      </w:r>
      <w:r w:rsidR="00EB5833">
        <w:t>Notes on Clauses</w:t>
      </w:r>
      <w:r w:rsidR="007A699F">
        <w:t>’</w:t>
      </w:r>
      <w:r w:rsidR="00EB5833">
        <w:t xml:space="preserve"> </w:t>
      </w:r>
      <w:r w:rsidR="00B86D9A">
        <w:t>suggest</w:t>
      </w:r>
      <w:r w:rsidR="00EB5833">
        <w:t xml:space="preserve"> that what is now</w:t>
      </w:r>
      <w:r w:rsidR="00B86D9A">
        <w:t xml:space="preserve"> paragraph G</w:t>
      </w:r>
      <w:r w:rsidR="0070500F">
        <w:t xml:space="preserve"> of </w:t>
      </w:r>
      <w:r w:rsidR="00D1065F">
        <w:t xml:space="preserve">s 1000(1) </w:t>
      </w:r>
      <w:r w:rsidR="007A0C12">
        <w:t>CTA 2010</w:t>
      </w:r>
      <w:r w:rsidR="00B86D9A">
        <w:t xml:space="preserve"> was intended as a sweep-up provision, although the </w:t>
      </w:r>
      <w:r w:rsidR="00A1709D">
        <w:t>Special Commission</w:t>
      </w:r>
      <w:r w:rsidR="001C535B">
        <w:t>ers</w:t>
      </w:r>
      <w:r w:rsidR="00A1709D">
        <w:t xml:space="preserve"> somewhat tentatively disagreed with this</w:t>
      </w:r>
      <w:r w:rsidR="0096517A">
        <w:t xml:space="preserve"> interpretation</w:t>
      </w:r>
      <w:r w:rsidR="00363E84">
        <w:t xml:space="preserve"> in </w:t>
      </w:r>
      <w:r w:rsidR="00363E84" w:rsidRPr="002032DE">
        <w:rPr>
          <w:i/>
          <w:iCs/>
        </w:rPr>
        <w:t xml:space="preserve">Noved Investment Co v HMRC </w:t>
      </w:r>
      <w:r w:rsidR="00363E84">
        <w:t>[2006</w:t>
      </w:r>
      <w:r w:rsidR="002D1EDB">
        <w:t>] UKSPC 521.</w:t>
      </w:r>
    </w:p>
  </w:footnote>
  <w:footnote w:id="30">
    <w:p w14:paraId="74D37DA7" w14:textId="716F3CB3" w:rsidR="00902C29" w:rsidRDefault="00902C29">
      <w:pPr>
        <w:pStyle w:val="FootnoteText"/>
      </w:pPr>
      <w:r>
        <w:rPr>
          <w:rStyle w:val="FootnoteReference"/>
        </w:rPr>
        <w:footnoteRef/>
      </w:r>
      <w:r>
        <w:t xml:space="preserve"> In s </w:t>
      </w:r>
      <w:r w:rsidR="00CD2AA0">
        <w:t>1020(3) CTA 2010.</w:t>
      </w:r>
    </w:p>
  </w:footnote>
  <w:footnote w:id="31">
    <w:p w14:paraId="60935B7C" w14:textId="45CB7397" w:rsidR="000E59E5" w:rsidRDefault="000E59E5">
      <w:pPr>
        <w:pStyle w:val="FootnoteText"/>
      </w:pPr>
      <w:r>
        <w:rPr>
          <w:rStyle w:val="FootnoteReference"/>
        </w:rPr>
        <w:footnoteRef/>
      </w:r>
      <w:r>
        <w:t xml:space="preserve"> See the judgment of Judge Rachel Short in</w:t>
      </w:r>
      <w:r w:rsidR="000952D9">
        <w:t xml:space="preserve"> </w:t>
      </w:r>
      <w:r w:rsidR="000952D9" w:rsidRPr="000B0998">
        <w:rPr>
          <w:i/>
          <w:iCs/>
        </w:rPr>
        <w:t>Alexander Beard v HMRC</w:t>
      </w:r>
      <w:r w:rsidR="000952D9">
        <w:t xml:space="preserve"> [2022]</w:t>
      </w:r>
      <w:r w:rsidR="003C3E96">
        <w:t xml:space="preserve"> UKFTT 00129 (TC)</w:t>
      </w:r>
      <w:r w:rsidR="00C02A8E">
        <w:t xml:space="preserve">.  This case concerned a distribution under the </w:t>
      </w:r>
      <w:r w:rsidR="000B0998">
        <w:t>Companies (Jersey) Law.</w:t>
      </w:r>
    </w:p>
  </w:footnote>
  <w:footnote w:id="32">
    <w:p w14:paraId="6C8858A2" w14:textId="04AF1827" w:rsidR="007D5B4C" w:rsidRDefault="007D5B4C">
      <w:pPr>
        <w:pStyle w:val="FootnoteText"/>
      </w:pPr>
      <w:r>
        <w:rPr>
          <w:rStyle w:val="FootnoteReference"/>
        </w:rPr>
        <w:footnoteRef/>
      </w:r>
      <w:r>
        <w:t xml:space="preserve"> S 160 CTA 2010</w:t>
      </w:r>
      <w:r w:rsidR="003E672D">
        <w:t>.</w:t>
      </w:r>
    </w:p>
  </w:footnote>
  <w:footnote w:id="33">
    <w:p w14:paraId="2143CF8E" w14:textId="4857D3F0" w:rsidR="00E2324C" w:rsidRDefault="00E2324C">
      <w:pPr>
        <w:pStyle w:val="FootnoteText"/>
      </w:pPr>
      <w:r>
        <w:rPr>
          <w:rStyle w:val="FootnoteReference"/>
        </w:rPr>
        <w:footnoteRef/>
      </w:r>
      <w:r>
        <w:t xml:space="preserve"> S 1119 CTA 2010.</w:t>
      </w:r>
      <w:r w:rsidR="00611C52">
        <w:t xml:space="preserve">  See </w:t>
      </w:r>
      <w:r w:rsidR="00611C52" w:rsidRPr="00DF1124">
        <w:rPr>
          <w:i/>
          <w:iCs/>
        </w:rPr>
        <w:t>HMRC v McQuillan</w:t>
      </w:r>
      <w:r w:rsidR="00611C52">
        <w:t xml:space="preserve"> </w:t>
      </w:r>
      <w:r w:rsidR="00F34D01">
        <w:t xml:space="preserve">[2017] </w:t>
      </w:r>
      <w:r w:rsidR="00803602">
        <w:t>UKUT 0344 (TCC).</w:t>
      </w:r>
    </w:p>
  </w:footnote>
  <w:footnote w:id="34">
    <w:p w14:paraId="79655D63" w14:textId="351FD64C" w:rsidR="000D2C3E" w:rsidRDefault="000D2C3E">
      <w:pPr>
        <w:pStyle w:val="FootnoteText"/>
      </w:pPr>
      <w:r>
        <w:rPr>
          <w:rStyle w:val="FootnoteReference"/>
        </w:rPr>
        <w:footnoteRef/>
      </w:r>
      <w:r>
        <w:t xml:space="preserve"> </w:t>
      </w:r>
      <w:r w:rsidR="007C5CD2">
        <w:t>A debenture i</w:t>
      </w:r>
      <w:r w:rsidR="00055E84">
        <w:t>s</w:t>
      </w:r>
      <w:r w:rsidR="007C5CD2">
        <w:t xml:space="preserve"> defined in th</w:t>
      </w:r>
      <w:r w:rsidR="00765176">
        <w:t>e</w:t>
      </w:r>
      <w:r w:rsidR="007C5CD2">
        <w:t xml:space="preserve"> </w:t>
      </w:r>
      <w:r w:rsidR="00E250F2">
        <w:t>C</w:t>
      </w:r>
      <w:r w:rsidR="007C5CD2">
        <w:t xml:space="preserve">ompanies </w:t>
      </w:r>
      <w:r w:rsidR="00E250F2">
        <w:t>A</w:t>
      </w:r>
      <w:r w:rsidR="007C5CD2">
        <w:t>cts as</w:t>
      </w:r>
      <w:r w:rsidR="00D64CD7">
        <w:t xml:space="preserve"> including debenture stock, bonds and any other securities of a company</w:t>
      </w:r>
      <w:r w:rsidR="00F14DF9">
        <w:t>, whether or not constituting a charge on the assets of the company</w:t>
      </w:r>
      <w:r w:rsidR="00172E02">
        <w:t>: s</w:t>
      </w:r>
      <w:r w:rsidR="00055E84">
        <w:t xml:space="preserve"> </w:t>
      </w:r>
      <w:r w:rsidR="00172E02">
        <w:t>738 CA 2006.</w:t>
      </w:r>
    </w:p>
  </w:footnote>
  <w:footnote w:id="35">
    <w:p w14:paraId="1A02B31A" w14:textId="3005F121" w:rsidR="00447F8E" w:rsidRDefault="00447F8E">
      <w:pPr>
        <w:pStyle w:val="FootnoteText"/>
      </w:pPr>
      <w:r>
        <w:rPr>
          <w:rStyle w:val="FootnoteReference"/>
        </w:rPr>
        <w:footnoteRef/>
      </w:r>
      <w:r>
        <w:t xml:space="preserve"> S</w:t>
      </w:r>
      <w:r w:rsidR="001A2E4A">
        <w:t xml:space="preserve"> </w:t>
      </w:r>
      <w:r w:rsidR="00B3364B">
        <w:t xml:space="preserve">540 CA 2006.  </w:t>
      </w:r>
      <w:r w:rsidR="008C44B1">
        <w:t>S 1161</w:t>
      </w:r>
      <w:r w:rsidR="004841AF">
        <w:t>(2)</w:t>
      </w:r>
      <w:r w:rsidR="007841BD">
        <w:t xml:space="preserve"> goes on to define shares where a company</w:t>
      </w:r>
      <w:r w:rsidR="00324A22">
        <w:t xml:space="preserve"> has capital but no share capital</w:t>
      </w:r>
      <w:r w:rsidR="004604B0">
        <w:t xml:space="preserve"> </w:t>
      </w:r>
      <w:r w:rsidR="00A225EB">
        <w:t>(</w:t>
      </w:r>
      <w:r w:rsidR="00713F13">
        <w:t xml:space="preserve">as </w:t>
      </w:r>
      <w:r w:rsidR="00641F76">
        <w:t>shares in the capital</w:t>
      </w:r>
      <w:r w:rsidR="00A225EB">
        <w:t>)</w:t>
      </w:r>
      <w:r w:rsidR="003D4973">
        <w:t xml:space="preserve"> </w:t>
      </w:r>
      <w:r w:rsidR="004604B0">
        <w:t xml:space="preserve">and </w:t>
      </w:r>
      <w:r w:rsidR="00E75930">
        <w:t>in relation to</w:t>
      </w:r>
      <w:r w:rsidR="00F44AD1">
        <w:t xml:space="preserve"> an </w:t>
      </w:r>
      <w:r w:rsidR="002011D5">
        <w:t>undertaking without capital</w:t>
      </w:r>
      <w:r w:rsidR="00B8253A">
        <w:t xml:space="preserve"> </w:t>
      </w:r>
      <w:r w:rsidR="00A225EB">
        <w:t>(</w:t>
      </w:r>
      <w:r w:rsidR="00713F13">
        <w:t xml:space="preserve">as </w:t>
      </w:r>
      <w:r w:rsidR="00181C2C">
        <w:t>interests conferring any right to</w:t>
      </w:r>
      <w:r w:rsidR="008731FB">
        <w:t xml:space="preserve"> share in profits or liability to</w:t>
      </w:r>
      <w:r w:rsidR="00A225EB">
        <w:t xml:space="preserve"> </w:t>
      </w:r>
      <w:r w:rsidR="001572D0">
        <w:t>contribute to losses</w:t>
      </w:r>
      <w:r w:rsidR="0077032D">
        <w:t xml:space="preserve"> of the undertaking</w:t>
      </w:r>
      <w:r w:rsidR="001572D0">
        <w:t>,</w:t>
      </w:r>
      <w:r w:rsidR="00F07BED">
        <w:t xml:space="preserve"> </w:t>
      </w:r>
      <w:r w:rsidR="001572D0">
        <w:t>or creating an obligation</w:t>
      </w:r>
      <w:r w:rsidR="00D00BAA">
        <w:t xml:space="preserve"> to contribute to debts or expenses in a winding</w:t>
      </w:r>
      <w:r w:rsidR="00731B9A">
        <w:t xml:space="preserve"> up</w:t>
      </w:r>
      <w:r w:rsidR="00AC7A11">
        <w:t>)</w:t>
      </w:r>
      <w:r w:rsidR="00937ECB">
        <w:t>.</w:t>
      </w:r>
    </w:p>
  </w:footnote>
  <w:footnote w:id="36">
    <w:p w14:paraId="49C42462" w14:textId="17311E55" w:rsidR="008B1D1E" w:rsidRDefault="008B1D1E">
      <w:pPr>
        <w:pStyle w:val="FootnoteText"/>
      </w:pPr>
      <w:r>
        <w:rPr>
          <w:rStyle w:val="FootnoteReference"/>
        </w:rPr>
        <w:footnoteRef/>
      </w:r>
      <w:r>
        <w:t xml:space="preserve"> S 560(1) CA 2006.</w:t>
      </w:r>
    </w:p>
  </w:footnote>
  <w:footnote w:id="37">
    <w:p w14:paraId="0DF5E29B" w14:textId="0791454D" w:rsidR="00A125E5" w:rsidRDefault="00A125E5">
      <w:pPr>
        <w:pStyle w:val="FootnoteText"/>
      </w:pPr>
      <w:r>
        <w:rPr>
          <w:rStyle w:val="FootnoteReference"/>
        </w:rPr>
        <w:footnoteRef/>
      </w:r>
      <w:r>
        <w:t xml:space="preserve"> </w:t>
      </w:r>
      <w:r w:rsidR="00706A82">
        <w:t>The Financial Services and Markets Act 2000 (Regulated Activities</w:t>
      </w:r>
      <w:r w:rsidR="00D851E3">
        <w:t>)</w:t>
      </w:r>
      <w:r w:rsidR="00706A82">
        <w:t xml:space="preserve"> Order</w:t>
      </w:r>
      <w:r w:rsidR="00D851E3">
        <w:t xml:space="preserve"> 2001 SI</w:t>
      </w:r>
      <w:r w:rsidR="00655548">
        <w:t xml:space="preserve"> 200</w:t>
      </w:r>
      <w:r w:rsidR="00943B51">
        <w:t xml:space="preserve">1 </w:t>
      </w:r>
      <w:r w:rsidR="00655548">
        <w:t>No.544</w:t>
      </w:r>
      <w:r w:rsidR="00943B51">
        <w:t>.</w:t>
      </w:r>
      <w:r w:rsidR="0007452B">
        <w:t xml:space="preserve">  Known as the RAO.</w:t>
      </w:r>
    </w:p>
  </w:footnote>
  <w:footnote w:id="38">
    <w:p w14:paraId="1557CD4E" w14:textId="2273168C" w:rsidR="00DE6A70" w:rsidRDefault="00DE6A70">
      <w:pPr>
        <w:pStyle w:val="FootnoteText"/>
      </w:pPr>
      <w:r>
        <w:rPr>
          <w:rStyle w:val="FootnoteReference"/>
        </w:rPr>
        <w:footnoteRef/>
      </w:r>
      <w:r>
        <w:t xml:space="preserve"> </w:t>
      </w:r>
      <w:r w:rsidR="00821AAA">
        <w:t>Defined at art 76 of the RAO.</w:t>
      </w:r>
    </w:p>
  </w:footnote>
  <w:footnote w:id="39">
    <w:p w14:paraId="4DF415B8" w14:textId="38457F95" w:rsidR="001710EF" w:rsidRDefault="001710EF">
      <w:pPr>
        <w:pStyle w:val="FootnoteText"/>
      </w:pPr>
      <w:r>
        <w:rPr>
          <w:rStyle w:val="FootnoteReference"/>
        </w:rPr>
        <w:footnoteRef/>
      </w:r>
      <w:r>
        <w:t xml:space="preserve"> At S 2.</w:t>
      </w:r>
    </w:p>
  </w:footnote>
  <w:footnote w:id="40">
    <w:p w14:paraId="59F04EA2" w14:textId="7A51F95F" w:rsidR="00781449" w:rsidRDefault="00781449">
      <w:pPr>
        <w:pStyle w:val="FootnoteText"/>
      </w:pPr>
      <w:r>
        <w:rPr>
          <w:rStyle w:val="FootnoteReference"/>
        </w:rPr>
        <w:footnoteRef/>
      </w:r>
      <w:r>
        <w:t xml:space="preserve"> </w:t>
      </w:r>
      <w:r w:rsidR="00B05849">
        <w:t>Third Edition (2005)</w:t>
      </w:r>
      <w:r w:rsidR="00CD75E7">
        <w:t>.</w:t>
      </w:r>
    </w:p>
  </w:footnote>
  <w:footnote w:id="41">
    <w:p w14:paraId="49EF68D9" w14:textId="04F846F5" w:rsidR="00765647" w:rsidRDefault="00765647">
      <w:pPr>
        <w:pStyle w:val="FootnoteText"/>
      </w:pPr>
      <w:r>
        <w:rPr>
          <w:rStyle w:val="FootnoteReference"/>
        </w:rPr>
        <w:footnoteRef/>
      </w:r>
      <w:r>
        <w:t xml:space="preserve"> </w:t>
      </w:r>
      <w:r w:rsidR="00967CAE">
        <w:t>Entry written by</w:t>
      </w:r>
      <w:r w:rsidR="00C90413">
        <w:t xml:space="preserve"> Will Kenton, updated 20 </w:t>
      </w:r>
      <w:r w:rsidR="007B053E">
        <w:t>March 2021.</w:t>
      </w:r>
    </w:p>
  </w:footnote>
  <w:footnote w:id="42">
    <w:p w14:paraId="46F9667F" w14:textId="537D7320" w:rsidR="009B4C2E" w:rsidRDefault="009B4C2E">
      <w:pPr>
        <w:pStyle w:val="FootnoteText"/>
      </w:pPr>
      <w:r>
        <w:rPr>
          <w:rStyle w:val="FootnoteReference"/>
        </w:rPr>
        <w:footnoteRef/>
      </w:r>
      <w:r>
        <w:t xml:space="preserve"> </w:t>
      </w:r>
      <w:r w:rsidR="000C1CCB">
        <w:t xml:space="preserve">An important one </w:t>
      </w:r>
      <w:r w:rsidR="0000612A">
        <w:t xml:space="preserve">according to some economists.  </w:t>
      </w:r>
      <w:r w:rsidR="00BD4656">
        <w:t>Stian Westlake and</w:t>
      </w:r>
      <w:r w:rsidR="006D1C19">
        <w:t xml:space="preserve"> Jonathan Haskel in</w:t>
      </w:r>
      <w:r w:rsidR="007817B2">
        <w:t xml:space="preserve"> ‘An </w:t>
      </w:r>
      <w:r w:rsidR="00CE7CB2">
        <w:t>Agenda for the Intangible Economy</w:t>
      </w:r>
      <w:r w:rsidR="00142519">
        <w:t>’</w:t>
      </w:r>
      <w:r w:rsidR="002B6F7B">
        <w:t xml:space="preserve"> </w:t>
      </w:r>
      <w:r w:rsidR="005A75AA">
        <w:t>(December 2001)</w:t>
      </w:r>
      <w:r w:rsidR="00142519">
        <w:t xml:space="preserve">, </w:t>
      </w:r>
      <w:r w:rsidR="00E844D7" w:rsidRPr="00580323">
        <w:rPr>
          <w:i/>
          <w:iCs/>
        </w:rPr>
        <w:t>City Journal</w:t>
      </w:r>
      <w:r w:rsidR="00E844D7">
        <w:t xml:space="preserve">, </w:t>
      </w:r>
      <w:r w:rsidR="00D0299E">
        <w:t>Manhattan Institute for Policy Research</w:t>
      </w:r>
      <w:r w:rsidR="00603B38">
        <w:t xml:space="preserve">, </w:t>
      </w:r>
      <w:r w:rsidR="0031742D">
        <w:t>suggest that</w:t>
      </w:r>
      <w:r w:rsidR="006B0F9B">
        <w:t xml:space="preserve"> intangible assets are of increasing importance in national economies</w:t>
      </w:r>
      <w:r w:rsidR="00A61C52">
        <w:t>, and</w:t>
      </w:r>
      <w:r w:rsidR="00556004">
        <w:t xml:space="preserve"> the</w:t>
      </w:r>
      <w:r w:rsidR="006D5962">
        <w:t xml:space="preserve"> </w:t>
      </w:r>
      <w:r w:rsidR="00391D08">
        <w:t xml:space="preserve">consequential </w:t>
      </w:r>
      <w:r w:rsidR="006D5962">
        <w:t>comparative</w:t>
      </w:r>
      <w:r w:rsidR="00556004">
        <w:t xml:space="preserve"> absence of tangi</w:t>
      </w:r>
      <w:r w:rsidR="006D5962">
        <w:t xml:space="preserve">ble assets </w:t>
      </w:r>
      <w:r w:rsidR="002E0E96">
        <w:t>in balance sh</w:t>
      </w:r>
      <w:r w:rsidR="00FF26D7">
        <w:t>eets able to support tax-favoured</w:t>
      </w:r>
      <w:r w:rsidR="001D4B62">
        <w:t xml:space="preserve"> debt finance</w:t>
      </w:r>
      <w:r w:rsidR="00B95E23">
        <w:t xml:space="preserve"> is</w:t>
      </w:r>
      <w:r w:rsidR="00CA1B06">
        <w:t xml:space="preserve"> a</w:t>
      </w:r>
      <w:r w:rsidR="00B95E23">
        <w:t xml:space="preserve"> significant</w:t>
      </w:r>
      <w:r w:rsidR="00E30E32">
        <w:t xml:space="preserve"> brake on </w:t>
      </w:r>
      <w:r w:rsidR="00AF3153">
        <w:t xml:space="preserve">efficient </w:t>
      </w:r>
      <w:r w:rsidR="0022600C">
        <w:t xml:space="preserve">development of the </w:t>
      </w:r>
      <w:r w:rsidR="00E30E32">
        <w:t>market</w:t>
      </w:r>
      <w:r w:rsidR="001E7010">
        <w:t xml:space="preserve"> </w:t>
      </w:r>
      <w:r w:rsidR="009B4387">
        <w:t>economy</w:t>
      </w:r>
      <w:r w:rsidR="0090060B">
        <w:t>.</w:t>
      </w:r>
      <w:r w:rsidR="0048288D">
        <w:t xml:space="preserve">  The auth</w:t>
      </w:r>
      <w:r w:rsidR="009D5A95">
        <w:t>ors (one of whom is</w:t>
      </w:r>
      <w:r w:rsidR="00867261">
        <w:t xml:space="preserve"> a</w:t>
      </w:r>
      <w:r w:rsidR="00FB72A6">
        <w:t xml:space="preserve">n external </w:t>
      </w:r>
      <w:r w:rsidR="00867261">
        <w:t>member o</w:t>
      </w:r>
      <w:r w:rsidR="00EA3A62">
        <w:t xml:space="preserve">f the Bank of England </w:t>
      </w:r>
      <w:r w:rsidR="00FB72A6">
        <w:t>M</w:t>
      </w:r>
      <w:r w:rsidR="00EA3A62">
        <w:t xml:space="preserve">onetary </w:t>
      </w:r>
      <w:r w:rsidR="008A1E51">
        <w:t>P</w:t>
      </w:r>
      <w:r w:rsidR="00EA3A62">
        <w:t xml:space="preserve">olicy </w:t>
      </w:r>
      <w:r w:rsidR="008A1E51">
        <w:t>C</w:t>
      </w:r>
      <w:r w:rsidR="00EA3A62">
        <w:t>ommittee</w:t>
      </w:r>
      <w:r w:rsidR="009D5A95">
        <w:t>)</w:t>
      </w:r>
      <w:r w:rsidR="00E2014C">
        <w:t xml:space="preserve"> favour ending the tax advantages of</w:t>
      </w:r>
      <w:r w:rsidR="00F8633F">
        <w:t xml:space="preserve"> debt finance, thereby</w:t>
      </w:r>
      <w:r w:rsidR="0095114D">
        <w:t xml:space="preserve"> level</w:t>
      </w:r>
      <w:r w:rsidR="00C57696">
        <w:t>ling</w:t>
      </w:r>
      <w:r w:rsidR="0095114D">
        <w:t xml:space="preserve"> the playing-field between tangible and </w:t>
      </w:r>
      <w:r w:rsidR="00247600">
        <w:t xml:space="preserve">intangible </w:t>
      </w:r>
      <w:r w:rsidR="0095114D">
        <w:t>investment</w:t>
      </w:r>
      <w:r w:rsidR="00AA466F">
        <w:t xml:space="preserve"> and</w:t>
      </w:r>
      <w:r w:rsidR="00574A64">
        <w:t>, they believe</w:t>
      </w:r>
      <w:r w:rsidR="007A785E">
        <w:t xml:space="preserve">, </w:t>
      </w:r>
      <w:r w:rsidR="00206CA2">
        <w:t xml:space="preserve">helping to </w:t>
      </w:r>
      <w:r w:rsidR="007A785E">
        <w:t>relie</w:t>
      </w:r>
      <w:r w:rsidR="00206CA2">
        <w:t>ve</w:t>
      </w:r>
      <w:r w:rsidR="004D01F7">
        <w:t xml:space="preserve"> inequalities and economic stagnation</w:t>
      </w:r>
      <w:r w:rsidR="00986D55">
        <w:t xml:space="preserve"> by lifting ‘the curse of collateral</w:t>
      </w:r>
      <w:r w:rsidR="0046688C">
        <w:t>’</w:t>
      </w:r>
      <w:r w:rsidR="00E440A4">
        <w:t>.</w:t>
      </w:r>
      <w:r w:rsidR="00AC080F">
        <w:t xml:space="preserve">  </w:t>
      </w:r>
      <w:r w:rsidR="00217ED4">
        <w:t xml:space="preserve">These ideas are developed in </w:t>
      </w:r>
      <w:r w:rsidR="00C720DE">
        <w:t>‘Capitalism without</w:t>
      </w:r>
      <w:r w:rsidR="00FA4026">
        <w:t xml:space="preserve"> Capital</w:t>
      </w:r>
      <w:r w:rsidR="00493A01">
        <w:t xml:space="preserve">, </w:t>
      </w:r>
      <w:r w:rsidR="00E12CC4">
        <w:t xml:space="preserve">The Rise of the Intangible </w:t>
      </w:r>
      <w:r w:rsidR="00D82B46">
        <w:t>Economy</w:t>
      </w:r>
      <w:r w:rsidR="00FA4026">
        <w:t>’</w:t>
      </w:r>
      <w:r w:rsidR="00BD58BE">
        <w:t xml:space="preserve"> </w:t>
      </w:r>
      <w:r w:rsidR="00804F68">
        <w:t>(</w:t>
      </w:r>
      <w:r w:rsidR="00DA44FB">
        <w:t xml:space="preserve">Princeton, </w:t>
      </w:r>
      <w:r w:rsidR="00423DBA">
        <w:t>Princeton University Press</w:t>
      </w:r>
      <w:r w:rsidR="00DA44FB">
        <w:t xml:space="preserve">, </w:t>
      </w:r>
      <w:r w:rsidR="00516844">
        <w:t xml:space="preserve">November </w:t>
      </w:r>
      <w:r w:rsidR="00D7116F">
        <w:t>2017) and ‘</w:t>
      </w:r>
      <w:r w:rsidR="00CF3576">
        <w:t>Restarting the Future’</w:t>
      </w:r>
      <w:r w:rsidR="00BD58BE">
        <w:t xml:space="preserve"> (Princeton</w:t>
      </w:r>
      <w:r w:rsidR="00332418">
        <w:t>, P</w:t>
      </w:r>
      <w:r w:rsidR="00250798">
        <w:t>rinceton University Press</w:t>
      </w:r>
      <w:r w:rsidR="005F2176">
        <w:t xml:space="preserve">, </w:t>
      </w:r>
      <w:r w:rsidR="00D82B46">
        <w:t xml:space="preserve">March </w:t>
      </w:r>
      <w:r w:rsidR="00A93279">
        <w:t>2022).</w:t>
      </w:r>
    </w:p>
  </w:footnote>
  <w:footnote w:id="43">
    <w:p w14:paraId="180E962F" w14:textId="057EC03E" w:rsidR="00F95DDE" w:rsidRDefault="00F95DDE">
      <w:pPr>
        <w:pStyle w:val="FootnoteText"/>
      </w:pPr>
      <w:r>
        <w:rPr>
          <w:rStyle w:val="FootnoteReference"/>
        </w:rPr>
        <w:footnoteRef/>
      </w:r>
      <w:r>
        <w:t xml:space="preserve"> </w:t>
      </w:r>
      <w:r w:rsidR="005E58DA">
        <w:t>‘</w:t>
      </w:r>
      <w:r w:rsidR="004E3990">
        <w:t>Tax biases to debt finance: assessing the problem</w:t>
      </w:r>
      <w:r w:rsidR="00387AB4">
        <w:t>, financing solutions</w:t>
      </w:r>
      <w:r w:rsidR="005E58DA">
        <w:t>’</w:t>
      </w:r>
      <w:r w:rsidR="00387AB4">
        <w:t xml:space="preserve">, </w:t>
      </w:r>
      <w:r w:rsidR="00387AB4" w:rsidRPr="00394B8F">
        <w:rPr>
          <w:i/>
          <w:iCs/>
        </w:rPr>
        <w:t>IMF Staff Discussion Note</w:t>
      </w:r>
      <w:r w:rsidR="00B33E3F" w:rsidRPr="00394B8F">
        <w:rPr>
          <w:i/>
          <w:iCs/>
        </w:rPr>
        <w:t xml:space="preserve"> </w:t>
      </w:r>
      <w:r w:rsidR="00394B8F" w:rsidRPr="00394B8F">
        <w:rPr>
          <w:i/>
          <w:iCs/>
        </w:rPr>
        <w:t>11/11</w:t>
      </w:r>
      <w:r w:rsidR="00394B8F">
        <w:t>.</w:t>
      </w:r>
      <w:r w:rsidR="005678F1">
        <w:t xml:space="preserve">  Ruud de Mooij is</w:t>
      </w:r>
      <w:r w:rsidR="00482614">
        <w:t xml:space="preserve"> an adviser in the</w:t>
      </w:r>
      <w:r w:rsidR="00276A82">
        <w:t xml:space="preserve"> International Monetary Fund’s </w:t>
      </w:r>
      <w:r w:rsidR="00C114DA">
        <w:t>Fiscal Affairs Department.</w:t>
      </w:r>
    </w:p>
  </w:footnote>
  <w:footnote w:id="44">
    <w:p w14:paraId="54013E03" w14:textId="43581174" w:rsidR="00C327DC" w:rsidRDefault="00C327DC">
      <w:pPr>
        <w:pStyle w:val="FootnoteText"/>
      </w:pPr>
      <w:r>
        <w:rPr>
          <w:rStyle w:val="FootnoteReference"/>
        </w:rPr>
        <w:footnoteRef/>
      </w:r>
      <w:r>
        <w:t xml:space="preserve"> Cmnd 8456</w:t>
      </w:r>
      <w:r w:rsidR="00EA7F7A">
        <w:t>.</w:t>
      </w:r>
    </w:p>
  </w:footnote>
  <w:footnote w:id="45">
    <w:p w14:paraId="69B49968" w14:textId="20A4F53F" w:rsidR="001B1BA5" w:rsidRDefault="001B1BA5">
      <w:pPr>
        <w:pStyle w:val="FootnoteText"/>
      </w:pPr>
      <w:r>
        <w:rPr>
          <w:rStyle w:val="FootnoteReference"/>
        </w:rPr>
        <w:footnoteRef/>
      </w:r>
      <w:r>
        <w:t xml:space="preserve"> There</w:t>
      </w:r>
      <w:r w:rsidR="00087471">
        <w:t xml:space="preserve"> is an interesting discussion</w:t>
      </w:r>
      <w:r w:rsidR="00F376F5">
        <w:t>, w</w:t>
      </w:r>
      <w:r w:rsidR="00087471">
        <w:t>hich combines the concept</w:t>
      </w:r>
      <w:r w:rsidR="002412C6">
        <w:t xml:space="preserve"> of </w:t>
      </w:r>
      <w:r w:rsidR="00801DB9">
        <w:t xml:space="preserve">these </w:t>
      </w:r>
      <w:r w:rsidR="002412C6">
        <w:t>allowances with a destination base, in</w:t>
      </w:r>
      <w:r w:rsidR="00B22ED0">
        <w:t xml:space="preserve"> S</w:t>
      </w:r>
      <w:r w:rsidR="003B6206">
        <w:t>hafik</w:t>
      </w:r>
      <w:r w:rsidR="00B22ED0">
        <w:t xml:space="preserve"> Hebous</w:t>
      </w:r>
      <w:r w:rsidR="003B6206">
        <w:t xml:space="preserve"> and Alexander Klemm</w:t>
      </w:r>
      <w:r w:rsidR="00F376F5">
        <w:t>,</w:t>
      </w:r>
      <w:r w:rsidR="00186200">
        <w:t xml:space="preserve"> </w:t>
      </w:r>
      <w:r w:rsidR="00931BC3">
        <w:t>‘</w:t>
      </w:r>
      <w:r w:rsidR="00186200">
        <w:t>A destination-based allowance for corporate equity</w:t>
      </w:r>
      <w:r w:rsidR="00EA7AFE">
        <w:t xml:space="preserve"> </w:t>
      </w:r>
      <w:r w:rsidR="003534EF">
        <w:t>(November 2018)</w:t>
      </w:r>
      <w:r w:rsidR="00BD77D1">
        <w:t xml:space="preserve"> </w:t>
      </w:r>
      <w:r w:rsidR="00BD77D1" w:rsidRPr="008B085B">
        <w:rPr>
          <w:i/>
          <w:iCs/>
        </w:rPr>
        <w:t>IMF Working Paper</w:t>
      </w:r>
      <w:r w:rsidR="00BD77D1">
        <w:t xml:space="preserve"> WP/18/239</w:t>
      </w:r>
      <w:r w:rsidR="00F376F5">
        <w:t>.</w:t>
      </w:r>
      <w:r w:rsidR="00B22ED0">
        <w:t xml:space="preserve"> </w:t>
      </w:r>
      <w:r w:rsidR="008A7741">
        <w:t xml:space="preserve"> See also</w:t>
      </w:r>
      <w:r w:rsidR="00805135">
        <w:t xml:space="preserve"> </w:t>
      </w:r>
      <w:r w:rsidR="00D56D32">
        <w:t>Chapter 17</w:t>
      </w:r>
      <w:r w:rsidR="009023F2">
        <w:t xml:space="preserve"> of</w:t>
      </w:r>
      <w:r w:rsidR="00740EA3">
        <w:t xml:space="preserve"> </w:t>
      </w:r>
      <w:r w:rsidR="00352636">
        <w:t>‘</w:t>
      </w:r>
      <w:r w:rsidR="00740EA3">
        <w:t xml:space="preserve">Taxing </w:t>
      </w:r>
      <w:r w:rsidR="00D918C2">
        <w:t>corporate</w:t>
      </w:r>
      <w:r w:rsidR="00740EA3">
        <w:t xml:space="preserve"> </w:t>
      </w:r>
      <w:r w:rsidR="00D918C2">
        <w:t>i</w:t>
      </w:r>
      <w:r w:rsidR="00740EA3">
        <w:t>ncome</w:t>
      </w:r>
      <w:r w:rsidR="00B31314">
        <w:t>’</w:t>
      </w:r>
      <w:r w:rsidR="00D918C2">
        <w:t xml:space="preserve"> in </w:t>
      </w:r>
      <w:r w:rsidR="00805135">
        <w:t>Mirrl</w:t>
      </w:r>
      <w:r w:rsidR="00C33DCC">
        <w:t xml:space="preserve">ees et al </w:t>
      </w:r>
      <w:r w:rsidR="00A12D1D">
        <w:t>‘</w:t>
      </w:r>
      <w:r w:rsidR="00C33DCC">
        <w:t xml:space="preserve">Tax by </w:t>
      </w:r>
      <w:r w:rsidR="0017708B">
        <w:t>D</w:t>
      </w:r>
      <w:r w:rsidR="00C33DCC">
        <w:t>esign</w:t>
      </w:r>
      <w:r w:rsidR="0017708B">
        <w:t>’</w:t>
      </w:r>
      <w:r w:rsidR="000C493A">
        <w:t xml:space="preserve"> (</w:t>
      </w:r>
      <w:r w:rsidR="00D33CA9">
        <w:t xml:space="preserve">Oxford, </w:t>
      </w:r>
      <w:r w:rsidR="00345DC9">
        <w:t>O</w:t>
      </w:r>
      <w:r w:rsidR="00E11805">
        <w:t xml:space="preserve">xford </w:t>
      </w:r>
      <w:r w:rsidR="0023122E">
        <w:t>U</w:t>
      </w:r>
      <w:r w:rsidR="009A2EAC">
        <w:t xml:space="preserve">niversity </w:t>
      </w:r>
      <w:r w:rsidR="0023122E">
        <w:t>P</w:t>
      </w:r>
      <w:r w:rsidR="009A2EAC">
        <w:t>ress</w:t>
      </w:r>
      <w:r w:rsidR="003E6682">
        <w:t>,</w:t>
      </w:r>
      <w:r w:rsidR="008A165B">
        <w:t xml:space="preserve"> September 2011</w:t>
      </w:r>
      <w:r w:rsidR="003E6682">
        <w:t>)</w:t>
      </w:r>
      <w:r w:rsidR="009A2EAC">
        <w:t>.</w:t>
      </w:r>
    </w:p>
  </w:footnote>
  <w:footnote w:id="46">
    <w:p w14:paraId="4DC2D4D9" w14:textId="2B891977" w:rsidR="00654EDB" w:rsidRDefault="00654EDB">
      <w:pPr>
        <w:pStyle w:val="FootnoteText"/>
      </w:pPr>
      <w:r>
        <w:rPr>
          <w:rStyle w:val="FootnoteReference"/>
        </w:rPr>
        <w:footnoteRef/>
      </w:r>
      <w:r>
        <w:t xml:space="preserve"> </w:t>
      </w:r>
      <w:r w:rsidR="00117F2F">
        <w:t>‘</w:t>
      </w:r>
      <w:r>
        <w:t xml:space="preserve">A </w:t>
      </w:r>
      <w:r w:rsidR="006670C7">
        <w:t>R</w:t>
      </w:r>
      <w:r w:rsidR="00E471F4">
        <w:t xml:space="preserve">ecommendation for </w:t>
      </w:r>
      <w:r w:rsidR="00F9708C">
        <w:t>I</w:t>
      </w:r>
      <w:r w:rsidR="00E471F4">
        <w:t xml:space="preserve">ntegration of the </w:t>
      </w:r>
      <w:r w:rsidR="00F9708C">
        <w:t>I</w:t>
      </w:r>
      <w:r w:rsidR="00E471F4">
        <w:t xml:space="preserve">ndividual and </w:t>
      </w:r>
      <w:r w:rsidR="00F9708C">
        <w:t>C</w:t>
      </w:r>
      <w:r w:rsidR="00E471F4">
        <w:t xml:space="preserve">orporate </w:t>
      </w:r>
      <w:r w:rsidR="005A083F">
        <w:t>T</w:t>
      </w:r>
      <w:r w:rsidR="00E471F4">
        <w:t xml:space="preserve">ax </w:t>
      </w:r>
      <w:r w:rsidR="005A083F">
        <w:t>S</w:t>
      </w:r>
      <w:r w:rsidR="00E471F4">
        <w:t>ystems</w:t>
      </w:r>
      <w:r w:rsidR="00117F2F">
        <w:t>’</w:t>
      </w:r>
      <w:r w:rsidR="00663FC2">
        <w:t xml:space="preserve"> (</w:t>
      </w:r>
      <w:r w:rsidR="00E471F4">
        <w:t>Department of the Treasury</w:t>
      </w:r>
      <w:r w:rsidR="00B869F5">
        <w:t xml:space="preserve">, </w:t>
      </w:r>
      <w:r w:rsidR="00264A14">
        <w:t>December 1992</w:t>
      </w:r>
      <w:r w:rsidR="00B869F5">
        <w:t>)</w:t>
      </w:r>
      <w:r w:rsidR="00264A14">
        <w:t>.</w:t>
      </w:r>
    </w:p>
  </w:footnote>
  <w:footnote w:id="47">
    <w:p w14:paraId="10769ADA" w14:textId="3604E305" w:rsidR="00055C5E" w:rsidRDefault="00055C5E">
      <w:pPr>
        <w:pStyle w:val="FootnoteText"/>
      </w:pPr>
      <w:r>
        <w:rPr>
          <w:rStyle w:val="FootnoteReference"/>
        </w:rPr>
        <w:footnoteRef/>
      </w:r>
      <w:r>
        <w:t xml:space="preserve"> See, for example, </w:t>
      </w:r>
      <w:r w:rsidR="009B0C8B" w:rsidRPr="00B35CBD">
        <w:rPr>
          <w:i/>
          <w:iCs/>
        </w:rPr>
        <w:t>Osbourne v Parsons Unknown</w:t>
      </w:r>
      <w:r w:rsidR="008F4494">
        <w:t xml:space="preserve"> [2022] EWHC 1021 (</w:t>
      </w:r>
      <w:r w:rsidR="00B35CBD">
        <w:t>Comm).</w:t>
      </w:r>
    </w:p>
  </w:footnote>
  <w:footnote w:id="48">
    <w:p w14:paraId="7518991A" w14:textId="1B7BF72C" w:rsidR="00ED3C89" w:rsidRDefault="00ED3C89">
      <w:pPr>
        <w:pStyle w:val="FootnoteText"/>
      </w:pPr>
      <w:r>
        <w:rPr>
          <w:rStyle w:val="FootnoteReference"/>
        </w:rPr>
        <w:footnoteRef/>
      </w:r>
      <w:r>
        <w:t xml:space="preserve"> </w:t>
      </w:r>
      <w:r w:rsidR="0002696A">
        <w:t>‘</w:t>
      </w:r>
      <w:r w:rsidR="00791B7F">
        <w:t>ECB official likens crypto</w:t>
      </w:r>
      <w:r w:rsidR="00246563">
        <w:t>s to Ponzi scheme in call for tighter regulation</w:t>
      </w:r>
      <w:r w:rsidR="0002696A">
        <w:t>’</w:t>
      </w:r>
      <w:r w:rsidR="0026453B">
        <w:t xml:space="preserve">, </w:t>
      </w:r>
      <w:r w:rsidR="0026453B" w:rsidRPr="002757C9">
        <w:rPr>
          <w:i/>
          <w:iCs/>
        </w:rPr>
        <w:t>FT Weekend</w:t>
      </w:r>
      <w:r w:rsidR="00990056">
        <w:t>, 30 April/1 May</w:t>
      </w:r>
      <w:r w:rsidR="00AA009E">
        <w:t xml:space="preserve"> 2022.  The official in question was</w:t>
      </w:r>
      <w:r w:rsidR="006E3D28">
        <w:t xml:space="preserve"> Fabio Panetta</w:t>
      </w:r>
      <w:r w:rsidR="00B17C0F">
        <w:t xml:space="preserve">, executive member of the European Central Bank </w:t>
      </w:r>
      <w:r w:rsidR="001A52E9">
        <w:t>with oversight of the Bank’s work on the digital Euro.</w:t>
      </w:r>
    </w:p>
  </w:footnote>
  <w:footnote w:id="49">
    <w:p w14:paraId="553D31E9" w14:textId="333C7E35" w:rsidR="00176129" w:rsidRDefault="00176129">
      <w:pPr>
        <w:pStyle w:val="FootnoteText"/>
      </w:pPr>
      <w:r>
        <w:rPr>
          <w:rStyle w:val="FootnoteReference"/>
        </w:rPr>
        <w:footnoteRef/>
      </w:r>
      <w:r>
        <w:t xml:space="preserve"> See </w:t>
      </w:r>
      <w:r w:rsidR="00215733">
        <w:t>‘</w:t>
      </w:r>
      <w:r w:rsidR="00EE58D5">
        <w:t>C</w:t>
      </w:r>
      <w:r>
        <w:t xml:space="preserve">rypto’s </w:t>
      </w:r>
      <w:r w:rsidR="00EE58D5">
        <w:t>crew</w:t>
      </w:r>
      <w:r w:rsidR="00215733">
        <w:t>’</w:t>
      </w:r>
      <w:r w:rsidR="00EE58D5">
        <w:t xml:space="preserve">, </w:t>
      </w:r>
      <w:r w:rsidR="00EE58D5" w:rsidRPr="00FA28D6">
        <w:rPr>
          <w:i/>
          <w:iCs/>
        </w:rPr>
        <w:t>The Economist</w:t>
      </w:r>
      <w:r w:rsidR="00FA28D6">
        <w:t>,</w:t>
      </w:r>
      <w:r w:rsidR="00312BFA">
        <w:t xml:space="preserve"> </w:t>
      </w:r>
      <w:r w:rsidR="005B2DE5">
        <w:t>11 December 2021</w:t>
      </w:r>
      <w:r w:rsidR="0051208F">
        <w:t xml:space="preserve">, </w:t>
      </w:r>
      <w:r w:rsidR="00312BFA">
        <w:t>76</w:t>
      </w:r>
      <w:r w:rsidR="0051208F">
        <w:t>.</w:t>
      </w:r>
    </w:p>
  </w:footnote>
  <w:footnote w:id="50">
    <w:p w14:paraId="064EF6EF" w14:textId="50C863D9" w:rsidR="003F7A71" w:rsidRDefault="003F7A71">
      <w:pPr>
        <w:pStyle w:val="FootnoteText"/>
      </w:pPr>
      <w:r>
        <w:rPr>
          <w:rStyle w:val="FootnoteReference"/>
        </w:rPr>
        <w:footnoteRef/>
      </w:r>
      <w:r>
        <w:t xml:space="preserve"> </w:t>
      </w:r>
      <w:r w:rsidR="0002696A">
        <w:t>‘</w:t>
      </w:r>
      <w:r w:rsidR="00210FFC">
        <w:t>Crypto</w:t>
      </w:r>
      <w:r w:rsidR="00534CFE">
        <w:t xml:space="preserve">asset reporting </w:t>
      </w:r>
      <w:r w:rsidR="004C1207">
        <w:t>framework</w:t>
      </w:r>
      <w:r w:rsidR="00EA4E67">
        <w:t xml:space="preserve"> and amendments to the common reporting standard</w:t>
      </w:r>
      <w:r w:rsidR="0002696A">
        <w:t>’</w:t>
      </w:r>
      <w:r w:rsidR="004C1207">
        <w:t>, Public Consultation Document</w:t>
      </w:r>
      <w:r w:rsidR="008D2C53">
        <w:t xml:space="preserve">, 22 March </w:t>
      </w:r>
      <w:r w:rsidR="00570001">
        <w:softHyphen/>
        <w:t>– 29 April 2022</w:t>
      </w:r>
      <w:r w:rsidR="006E419B">
        <w:t>, OECD</w:t>
      </w:r>
      <w:r w:rsidR="00634C89">
        <w:t>.</w:t>
      </w:r>
    </w:p>
  </w:footnote>
  <w:footnote w:id="51">
    <w:p w14:paraId="2420409B" w14:textId="125D9ED2" w:rsidR="009D0DA1" w:rsidRDefault="009D0DA1">
      <w:pPr>
        <w:pStyle w:val="FootnoteText"/>
      </w:pPr>
      <w:r>
        <w:rPr>
          <w:rStyle w:val="FootnoteReference"/>
        </w:rPr>
        <w:footnoteRef/>
      </w:r>
      <w:r>
        <w:t xml:space="preserve"> Meaning</w:t>
      </w:r>
      <w:r w:rsidR="004E175E">
        <w:t xml:space="preserve"> using historical information </w:t>
      </w:r>
      <w:r w:rsidR="008D10D7">
        <w:t>and ‘deep</w:t>
      </w:r>
      <w:r w:rsidR="00056943">
        <w:t xml:space="preserve"> </w:t>
      </w:r>
      <w:r w:rsidR="008D10D7">
        <w:t>learning’</w:t>
      </w:r>
      <w:r w:rsidR="00123308">
        <w:t>, a form of artificial intelligence,</w:t>
      </w:r>
      <w:r w:rsidR="00056943">
        <w:t xml:space="preserve"> </w:t>
      </w:r>
      <w:r w:rsidR="004E175E">
        <w:t>to</w:t>
      </w:r>
      <w:r w:rsidR="00E7224C">
        <w:t xml:space="preserve"> predict movements.</w:t>
      </w:r>
    </w:p>
  </w:footnote>
  <w:footnote w:id="52">
    <w:p w14:paraId="203A6AFE" w14:textId="23F52B7C" w:rsidR="00A91BAF" w:rsidRDefault="00A91BAF">
      <w:pPr>
        <w:pStyle w:val="FootnoteText"/>
      </w:pPr>
      <w:r>
        <w:rPr>
          <w:rStyle w:val="FootnoteReference"/>
        </w:rPr>
        <w:footnoteRef/>
      </w:r>
      <w:r>
        <w:t xml:space="preserve"> </w:t>
      </w:r>
      <w:r w:rsidR="00F42B2E">
        <w:t>It is worth recalling that, after the colla</w:t>
      </w:r>
      <w:r w:rsidR="00461A77">
        <w:t>pse of Lehman Brothers</w:t>
      </w:r>
      <w:r w:rsidR="00490314">
        <w:t xml:space="preserve"> on 16 September</w:t>
      </w:r>
      <w:r w:rsidR="00461A77">
        <w:t xml:space="preserve"> during the 2008 financial crisis</w:t>
      </w:r>
      <w:r w:rsidR="00EF0B73">
        <w:t>, even greater panic set in two days later when</w:t>
      </w:r>
      <w:r w:rsidR="00253C42">
        <w:t xml:space="preserve"> Primary Reserve Fund, a money market mutual fund</w:t>
      </w:r>
      <w:r w:rsidR="00236D06">
        <w:t xml:space="preserve"> broke the buck due to the</w:t>
      </w:r>
      <w:r w:rsidR="00DA2A10">
        <w:t xml:space="preserve"> loss </w:t>
      </w:r>
      <w:r w:rsidR="00CD780A">
        <w:t>of value</w:t>
      </w:r>
      <w:r w:rsidR="00DA2A10">
        <w:t xml:space="preserve"> of its Lehman fund holdings.</w:t>
      </w:r>
    </w:p>
  </w:footnote>
  <w:footnote w:id="53">
    <w:p w14:paraId="030C9AB0" w14:textId="153EC984" w:rsidR="00E224E9" w:rsidRDefault="00E224E9">
      <w:pPr>
        <w:pStyle w:val="FootnoteText"/>
      </w:pPr>
      <w:r>
        <w:rPr>
          <w:rStyle w:val="FootnoteReference"/>
        </w:rPr>
        <w:footnoteRef/>
      </w:r>
      <w:r>
        <w:t xml:space="preserve"> See </w:t>
      </w:r>
      <w:r w:rsidR="00915FB8">
        <w:t>‘</w:t>
      </w:r>
      <w:r w:rsidR="00A53C50">
        <w:t>Regulate Stablecoins please!</w:t>
      </w:r>
      <w:r w:rsidR="003866A7">
        <w:t>’</w:t>
      </w:r>
      <w:r w:rsidR="00257D1A">
        <w:t xml:space="preserve">, </w:t>
      </w:r>
      <w:r w:rsidR="00257D1A" w:rsidRPr="00DF3671">
        <w:rPr>
          <w:i/>
          <w:iCs/>
        </w:rPr>
        <w:t>The Economist</w:t>
      </w:r>
      <w:r w:rsidR="00455712">
        <w:t>, 10 June 2022</w:t>
      </w:r>
      <w:r w:rsidR="003272FA">
        <w:t>.</w:t>
      </w:r>
      <w:r w:rsidR="00682EDF">
        <w:t xml:space="preserve"> </w:t>
      </w:r>
      <w:r w:rsidR="0040217D">
        <w:t xml:space="preserve"> The author is Sheila Blair</w:t>
      </w:r>
      <w:r w:rsidR="00682EDF">
        <w:t xml:space="preserve">, who observes that the United States has a plethora of regulatory agencies, none of whom seem to be </w:t>
      </w:r>
      <w:r w:rsidR="00DF3671">
        <w:t>entirely suitable for the task.</w:t>
      </w:r>
    </w:p>
  </w:footnote>
  <w:footnote w:id="54">
    <w:p w14:paraId="05E5A168" w14:textId="7ED791AB" w:rsidR="00F4797B" w:rsidRDefault="00F4797B">
      <w:pPr>
        <w:pStyle w:val="FootnoteText"/>
      </w:pPr>
      <w:r>
        <w:rPr>
          <w:rStyle w:val="FootnoteReference"/>
        </w:rPr>
        <w:footnoteRef/>
      </w:r>
      <w:r>
        <w:t xml:space="preserve"> See ‘The crypto infrastructure crac</w:t>
      </w:r>
      <w:r w:rsidR="002D42F7">
        <w:t xml:space="preserve">ks’, </w:t>
      </w:r>
      <w:r w:rsidR="002D42F7" w:rsidRPr="002D42F7">
        <w:rPr>
          <w:i/>
          <w:iCs/>
        </w:rPr>
        <w:t>The Economist</w:t>
      </w:r>
      <w:r w:rsidR="002D42F7">
        <w:t>, 12 May 2022.</w:t>
      </w:r>
    </w:p>
  </w:footnote>
  <w:footnote w:id="55">
    <w:p w14:paraId="5A8F6816" w14:textId="57FA169C" w:rsidR="00A13E0C" w:rsidRDefault="00A13E0C">
      <w:pPr>
        <w:pStyle w:val="FootnoteText"/>
      </w:pPr>
      <w:r>
        <w:rPr>
          <w:rStyle w:val="FootnoteReference"/>
        </w:rPr>
        <w:footnoteRef/>
      </w:r>
      <w:r>
        <w:t xml:space="preserve"> One simple definition of</w:t>
      </w:r>
      <w:r w:rsidR="00CF390E">
        <w:t xml:space="preserve"> security token is</w:t>
      </w:r>
      <w:r w:rsidR="00B03048">
        <w:t xml:space="preserve"> </w:t>
      </w:r>
      <w:r w:rsidR="00A007C1">
        <w:t>‘</w:t>
      </w:r>
      <w:r w:rsidR="00B03048">
        <w:t>essentially a digital form of traditional securities</w:t>
      </w:r>
      <w:r w:rsidR="00A007C1">
        <w:t>’</w:t>
      </w:r>
      <w:r w:rsidR="003B3CA4">
        <w:t xml:space="preserve">: </w:t>
      </w:r>
      <w:r w:rsidR="007C3637">
        <w:t>coinmarketccap.com</w:t>
      </w:r>
      <w:r w:rsidR="00F27108">
        <w:t>.</w:t>
      </w:r>
    </w:p>
  </w:footnote>
  <w:footnote w:id="56">
    <w:p w14:paraId="4D4D112C" w14:textId="29383CCF" w:rsidR="00893ACE" w:rsidRDefault="00893ACE">
      <w:pPr>
        <w:pStyle w:val="FootnoteText"/>
      </w:pPr>
      <w:r>
        <w:rPr>
          <w:rStyle w:val="FootnoteReference"/>
        </w:rPr>
        <w:footnoteRef/>
      </w:r>
      <w:r>
        <w:t xml:space="preserve"> </w:t>
      </w:r>
      <w:r w:rsidR="00BF006E">
        <w:t xml:space="preserve">See </w:t>
      </w:r>
      <w:r w:rsidR="0078530D">
        <w:t xml:space="preserve">HMRC Cryptoassets Manual </w:t>
      </w:r>
      <w:r w:rsidR="004009A9">
        <w:t>CRYPTO10100</w:t>
      </w:r>
      <w:r w:rsidR="00C91906">
        <w:t>.</w:t>
      </w:r>
    </w:p>
  </w:footnote>
  <w:footnote w:id="57">
    <w:p w14:paraId="4F121A88" w14:textId="6FA1F270" w:rsidR="0050007B" w:rsidRDefault="0050007B">
      <w:pPr>
        <w:pStyle w:val="FootnoteText"/>
      </w:pPr>
      <w:r>
        <w:rPr>
          <w:rStyle w:val="FootnoteReference"/>
        </w:rPr>
        <w:footnoteRef/>
      </w:r>
      <w:r>
        <w:t xml:space="preserve"> Markets in </w:t>
      </w:r>
      <w:r w:rsidR="00A83060">
        <w:t>F</w:t>
      </w:r>
      <w:r w:rsidR="008F66C4">
        <w:t xml:space="preserve">inancial </w:t>
      </w:r>
      <w:r w:rsidR="00A83060">
        <w:t>I</w:t>
      </w:r>
      <w:r w:rsidR="008F66C4">
        <w:t xml:space="preserve">nstruments </w:t>
      </w:r>
      <w:r w:rsidR="00A83060">
        <w:t>Directive</w:t>
      </w:r>
      <w:r w:rsidR="006438E3">
        <w:t xml:space="preserve"> 2014/65/EU</w:t>
      </w:r>
      <w:r w:rsidR="003A51D5">
        <w:t xml:space="preserve"> (</w:t>
      </w:r>
      <w:r w:rsidR="00E16EFC" w:rsidRPr="00E36E98">
        <w:rPr>
          <w:i/>
          <w:iCs/>
        </w:rPr>
        <w:t>OJ</w:t>
      </w:r>
      <w:r w:rsidR="00E16EFC">
        <w:t xml:space="preserve"> L 173, 12 June 2014</w:t>
      </w:r>
      <w:r w:rsidR="00E36E98">
        <w:t>)</w:t>
      </w:r>
      <w:r w:rsidR="00861C7B">
        <w:t>. Art</w:t>
      </w:r>
      <w:r w:rsidR="00972374">
        <w:t xml:space="preserve"> 4(1) (44)</w:t>
      </w:r>
      <w:r w:rsidR="00717D26">
        <w:t xml:space="preserve"> defines transferrable securities</w:t>
      </w:r>
      <w:r w:rsidR="00A94FC5">
        <w:t>.</w:t>
      </w:r>
    </w:p>
  </w:footnote>
  <w:footnote w:id="58">
    <w:p w14:paraId="3B8A74F2" w14:textId="6DCC942C" w:rsidR="00470DE8" w:rsidRDefault="00470DE8">
      <w:pPr>
        <w:pStyle w:val="FootnoteText"/>
      </w:pPr>
      <w:r>
        <w:rPr>
          <w:rStyle w:val="FootnoteReference"/>
        </w:rPr>
        <w:footnoteRef/>
      </w:r>
      <w:r>
        <w:t xml:space="preserve"> Markets in </w:t>
      </w:r>
      <w:r w:rsidR="00970AA3">
        <w:t>Cryptoassets Regulation.</w:t>
      </w:r>
    </w:p>
  </w:footnote>
  <w:footnote w:id="59">
    <w:p w14:paraId="121FF3B7" w14:textId="1F1C0851" w:rsidR="00A94E56" w:rsidRDefault="00A94E56">
      <w:pPr>
        <w:pStyle w:val="FootnoteText"/>
      </w:pPr>
      <w:r>
        <w:rPr>
          <w:rStyle w:val="FootnoteReference"/>
        </w:rPr>
        <w:footnoteRef/>
      </w:r>
      <w:r>
        <w:t xml:space="preserve"> The so-called Howe</w:t>
      </w:r>
      <w:r w:rsidR="00824D04">
        <w:t>y test</w:t>
      </w:r>
      <w:r w:rsidR="00972D39">
        <w:t>, based on a Supreme Court judgment,</w:t>
      </w:r>
      <w:r w:rsidR="00824D04">
        <w:t xml:space="preserve"> for whether an investment</w:t>
      </w:r>
      <w:r w:rsidR="005776AD">
        <w:t xml:space="preserve"> qualifies as an ‘investment contract’</w:t>
      </w:r>
      <w:r w:rsidR="007F257C">
        <w:t xml:space="preserve"> and so would be considered a security</w:t>
      </w:r>
      <w:r w:rsidR="00BF2AA3">
        <w:t xml:space="preserve"> is arguably</w:t>
      </w:r>
      <w:r w:rsidR="0084581D">
        <w:t xml:space="preserve"> outdated in relation to</w:t>
      </w:r>
      <w:r w:rsidR="00012F26">
        <w:t xml:space="preserve"> cryptoassets.</w:t>
      </w:r>
    </w:p>
  </w:footnote>
  <w:footnote w:id="60">
    <w:p w14:paraId="18414F8A" w14:textId="24D40065" w:rsidR="004119D9" w:rsidRDefault="004119D9">
      <w:pPr>
        <w:pStyle w:val="FootnoteText"/>
      </w:pPr>
      <w:r>
        <w:rPr>
          <w:rStyle w:val="FootnoteReference"/>
        </w:rPr>
        <w:footnoteRef/>
      </w:r>
      <w:r>
        <w:t xml:space="preserve"> </w:t>
      </w:r>
      <w:r w:rsidR="001F2CE8">
        <w:t>The Economic Secretary to the Treasury, John Glen</w:t>
      </w:r>
      <w:r w:rsidR="00DB1759">
        <w:t xml:space="preserve"> MP</w:t>
      </w:r>
      <w:r w:rsidR="001F2CE8">
        <w:t>,</w:t>
      </w:r>
      <w:r w:rsidR="00B7372B">
        <w:t xml:space="preserve"> delivered </w:t>
      </w:r>
      <w:r w:rsidR="001004D2">
        <w:t>a speech to the Innovate Finance Global Summit</w:t>
      </w:r>
      <w:r w:rsidR="00E66FC4">
        <w:t xml:space="preserve"> on 4 April 2022</w:t>
      </w:r>
      <w:r w:rsidR="00CE6431">
        <w:t xml:space="preserve"> which set out</w:t>
      </w:r>
      <w:r w:rsidR="00C02299">
        <w:t xml:space="preserve"> the aim for the United </w:t>
      </w:r>
      <w:r w:rsidR="00692A48">
        <w:t>Kingdom</w:t>
      </w:r>
      <w:r w:rsidR="00C02299">
        <w:t xml:space="preserve"> to become a </w:t>
      </w:r>
      <w:r w:rsidR="003B29B2">
        <w:t>‘</w:t>
      </w:r>
      <w:r w:rsidR="00537EDF">
        <w:t>global hub</w:t>
      </w:r>
      <w:r w:rsidR="005436AA">
        <w:t>’</w:t>
      </w:r>
      <w:r w:rsidR="00537EDF">
        <w:t xml:space="preserve"> for cryptoassets</w:t>
      </w:r>
      <w:r w:rsidR="00692A48">
        <w:t xml:space="preserve"> with new regulations for stablecoins</w:t>
      </w:r>
      <w:r w:rsidR="003D3F73">
        <w:t xml:space="preserve"> and </w:t>
      </w:r>
      <w:r w:rsidR="00AE6115">
        <w:t>proposals fo</w:t>
      </w:r>
      <w:r w:rsidR="002B015A">
        <w:t>r</w:t>
      </w:r>
      <w:r w:rsidR="00AE6115">
        <w:t xml:space="preserve"> the Royal Mint to issue </w:t>
      </w:r>
      <w:r w:rsidR="00DF0EAC">
        <w:t>N</w:t>
      </w:r>
      <w:r w:rsidR="00EB4058">
        <w:t>FTs</w:t>
      </w:r>
      <w:r w:rsidR="00787282">
        <w:t xml:space="preserve"> </w:t>
      </w:r>
      <w:r w:rsidR="00912CA9">
        <w:t>as collectibles</w:t>
      </w:r>
      <w:r w:rsidR="001355B2">
        <w:t>.  The possibility of using DLT</w:t>
      </w:r>
      <w:r w:rsidR="00DF0EAC">
        <w:t xml:space="preserve"> to issue government debt w</w:t>
      </w:r>
      <w:r w:rsidR="00BF755D">
        <w:t>as to be</w:t>
      </w:r>
      <w:r w:rsidR="00DF0EAC">
        <w:t xml:space="preserve"> explored</w:t>
      </w:r>
      <w:r w:rsidR="004C7B9D">
        <w:t xml:space="preserve">, and </w:t>
      </w:r>
      <w:r w:rsidR="00843871">
        <w:t>the application of tax laws reviewed.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D222C" w14:textId="77777777" w:rsidR="00BA175E" w:rsidRDefault="00BA1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58321" w14:textId="77777777" w:rsidR="00BA175E" w:rsidRDefault="00BA1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4E061" w14:textId="77777777" w:rsidR="00BA175E" w:rsidRDefault="00BA1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9689F"/>
    <w:multiLevelType w:val="multilevel"/>
    <w:tmpl w:val="6494D632"/>
    <w:lvl w:ilvl="0">
      <w:start w:val="1"/>
      <w:numFmt w:val="upperRoman"/>
      <w:lvlText w:val="%1."/>
      <w:lvlJc w:val="left"/>
      <w:pPr>
        <w:tabs>
          <w:tab w:val="num" w:pos="1080"/>
        </w:tabs>
        <w:ind w:left="1080" w:hanging="1008"/>
      </w:pPr>
      <w:rPr>
        <w:rFonts w:ascii="Times New Roman Bold" w:hAnsi="Times New Roman Bold" w:hint="default"/>
        <w:b/>
        <w:i w:val="0"/>
        <w:sz w:val="26"/>
      </w:rPr>
    </w:lvl>
    <w:lvl w:ilvl="1">
      <w:start w:val="1"/>
      <w:numFmt w:val="upperLetter"/>
      <w:lvlText w:val="%2."/>
      <w:lvlJc w:val="left"/>
      <w:pPr>
        <w:tabs>
          <w:tab w:val="num" w:pos="2160"/>
        </w:tabs>
        <w:ind w:left="2160" w:hanging="720"/>
      </w:pPr>
      <w:rPr>
        <w:rFonts w:ascii="Times New Roman Bold" w:hAnsi="Times New Roman Bold" w:hint="default"/>
        <w:b/>
        <w:i w:val="0"/>
        <w:sz w:val="24"/>
      </w:rPr>
    </w:lvl>
    <w:lvl w:ilvl="2">
      <w:start w:val="1"/>
      <w:numFmt w:val="decimal"/>
      <w:pStyle w:val="Outlineheading1"/>
      <w:lvlText w:val="%3."/>
      <w:lvlJc w:val="left"/>
      <w:pPr>
        <w:tabs>
          <w:tab w:val="num" w:pos="2880"/>
        </w:tabs>
        <w:ind w:left="2880" w:hanging="720"/>
      </w:pPr>
      <w:rPr>
        <w:rFonts w:ascii="Times New Roman Bold" w:hAnsi="Times New Roman Bold" w:hint="default"/>
        <w:b/>
        <w:i w:val="0"/>
        <w:sz w:val="24"/>
      </w:rPr>
    </w:lvl>
    <w:lvl w:ilvl="3">
      <w:start w:val="1"/>
      <w:numFmt w:val="lowerLetter"/>
      <w:lvlText w:val="(%4)"/>
      <w:lvlJc w:val="left"/>
      <w:pPr>
        <w:tabs>
          <w:tab w:val="num" w:pos="2880"/>
        </w:tabs>
        <w:ind w:left="2880" w:hanging="720"/>
      </w:pPr>
    </w:lvl>
    <w:lvl w:ilvl="4">
      <w:start w:val="1"/>
      <w:numFmt w:val="none"/>
      <w:lvlText w:val="(i)"/>
      <w:lvlJc w:val="left"/>
      <w:pPr>
        <w:tabs>
          <w:tab w:val="num" w:pos="3600"/>
        </w:tabs>
        <w:ind w:left="3600" w:hanging="72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1C85507"/>
    <w:multiLevelType w:val="multilevel"/>
    <w:tmpl w:val="73CE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1A1D8D"/>
    <w:multiLevelType w:val="multilevel"/>
    <w:tmpl w:val="5EAA065C"/>
    <w:lvl w:ilvl="0">
      <w:start w:val="1"/>
      <w:numFmt w:val="upperRoman"/>
      <w:pStyle w:val="OutlineheadingI"/>
      <w:lvlText w:val="%1."/>
      <w:lvlJc w:val="left"/>
      <w:pPr>
        <w:tabs>
          <w:tab w:val="num" w:pos="1440"/>
        </w:tabs>
        <w:ind w:left="1440" w:hanging="720"/>
      </w:pPr>
      <w:rPr>
        <w:rFonts w:ascii="Times New Roman Bold" w:hAnsi="Times New Roman Bold" w:hint="default"/>
        <w:b/>
        <w:i w:val="0"/>
        <w:sz w:val="26"/>
      </w:rPr>
    </w:lvl>
    <w:lvl w:ilvl="1">
      <w:start w:val="1"/>
      <w:numFmt w:val="upperLetter"/>
      <w:lvlText w:val="%2."/>
      <w:lvlJc w:val="left"/>
      <w:pPr>
        <w:tabs>
          <w:tab w:val="num" w:pos="2160"/>
        </w:tabs>
        <w:ind w:left="2160" w:hanging="720"/>
      </w:pPr>
      <w:rPr>
        <w:rFonts w:ascii="Times New Roman Bold" w:hAnsi="Times New Roman Bold" w:hint="default"/>
        <w:b/>
        <w:i w:val="0"/>
        <w:sz w:val="24"/>
      </w:rPr>
    </w:lvl>
    <w:lvl w:ilvl="2">
      <w:start w:val="1"/>
      <w:numFmt w:val="decimal"/>
      <w:lvlText w:val="%3."/>
      <w:lvlJc w:val="left"/>
      <w:pPr>
        <w:tabs>
          <w:tab w:val="num" w:pos="2880"/>
        </w:tabs>
        <w:ind w:left="2880" w:hanging="720"/>
      </w:pPr>
      <w:rPr>
        <w:rFonts w:ascii="Times New Roman Bold" w:hAnsi="Times New Roman Bold" w:hint="default"/>
        <w:b/>
        <w:i w:val="0"/>
        <w:sz w:val="24"/>
      </w:rPr>
    </w:lvl>
    <w:lvl w:ilvl="3">
      <w:start w:val="1"/>
      <w:numFmt w:val="lowerLetter"/>
      <w:lvlText w:val="(%4)"/>
      <w:lvlJc w:val="left"/>
      <w:pPr>
        <w:tabs>
          <w:tab w:val="num" w:pos="2880"/>
        </w:tabs>
        <w:ind w:left="2880" w:hanging="720"/>
      </w:pPr>
    </w:lvl>
    <w:lvl w:ilvl="4">
      <w:start w:val="1"/>
      <w:numFmt w:val="none"/>
      <w:lvlText w:val="(i)"/>
      <w:lvlJc w:val="left"/>
      <w:pPr>
        <w:tabs>
          <w:tab w:val="num" w:pos="3600"/>
        </w:tabs>
        <w:ind w:left="3600" w:hanging="72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46204D6"/>
    <w:multiLevelType w:val="hybridMultilevel"/>
    <w:tmpl w:val="CD388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E4328"/>
    <w:multiLevelType w:val="multilevel"/>
    <w:tmpl w:val="0AB8A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5725EC"/>
    <w:multiLevelType w:val="multilevel"/>
    <w:tmpl w:val="8AA68E72"/>
    <w:styleLink w:val="Numbeedlist"/>
    <w:lvl w:ilvl="0">
      <w:start w:val="1"/>
      <w:numFmt w:val="upperRoman"/>
      <w:lvlText w:val="%1."/>
      <w:lvlJc w:val="left"/>
      <w:pPr>
        <w:ind w:left="1417" w:hanging="567"/>
      </w:pPr>
      <w:rPr>
        <w:rFonts w:hint="default"/>
      </w:rPr>
    </w:lvl>
    <w:lvl w:ilvl="1">
      <w:start w:val="1"/>
      <w:numFmt w:val="upperLetter"/>
      <w:lvlText w:val="%2."/>
      <w:lvlJc w:val="left"/>
      <w:pPr>
        <w:ind w:left="1985" w:hanging="567"/>
      </w:pPr>
      <w:rPr>
        <w:rFonts w:hint="default"/>
      </w:rPr>
    </w:lvl>
    <w:lvl w:ilvl="2">
      <w:start w:val="1"/>
      <w:numFmt w:val="decimal"/>
      <w:lvlText w:val="(%3)"/>
      <w:lvlJc w:val="left"/>
      <w:pPr>
        <w:ind w:left="2552" w:hanging="567"/>
      </w:pPr>
      <w:rPr>
        <w:rFonts w:hint="default"/>
      </w:rPr>
    </w:lvl>
    <w:lvl w:ilvl="3">
      <w:start w:val="1"/>
      <w:numFmt w:val="lowerLetter"/>
      <w:lvlText w:val="(%4)"/>
      <w:lvlJc w:val="left"/>
      <w:pPr>
        <w:ind w:left="3119" w:hanging="567"/>
      </w:pPr>
      <w:rPr>
        <w:rFonts w:hint="default"/>
      </w:rPr>
    </w:lvl>
    <w:lvl w:ilvl="4">
      <w:start w:val="1"/>
      <w:numFmt w:val="lowerRoman"/>
      <w:lvlText w:val="(%5)"/>
      <w:lvlJc w:val="left"/>
      <w:pPr>
        <w:ind w:left="3686" w:hanging="567"/>
      </w:pPr>
      <w:rPr>
        <w:rFonts w:hint="default"/>
      </w:rPr>
    </w:lvl>
    <w:lvl w:ilvl="5">
      <w:start w:val="1"/>
      <w:numFmt w:val="lowerRoman"/>
      <w:lvlText w:val="(%6)"/>
      <w:lvlJc w:val="left"/>
      <w:pPr>
        <w:ind w:left="4253" w:hanging="567"/>
      </w:pPr>
      <w:rPr>
        <w:rFonts w:hint="default"/>
      </w:rPr>
    </w:lvl>
    <w:lvl w:ilvl="6">
      <w:start w:val="1"/>
      <w:numFmt w:val="decimal"/>
      <w:lvlText w:val="%7."/>
      <w:lvlJc w:val="left"/>
      <w:pPr>
        <w:ind w:left="6970" w:hanging="360"/>
      </w:pPr>
      <w:rPr>
        <w:rFonts w:hint="default"/>
      </w:rPr>
    </w:lvl>
    <w:lvl w:ilvl="7">
      <w:start w:val="1"/>
      <w:numFmt w:val="lowerLetter"/>
      <w:lvlText w:val="%8."/>
      <w:lvlJc w:val="left"/>
      <w:pPr>
        <w:ind w:left="7330" w:hanging="360"/>
      </w:pPr>
      <w:rPr>
        <w:rFonts w:hint="default"/>
      </w:rPr>
    </w:lvl>
    <w:lvl w:ilvl="8">
      <w:start w:val="1"/>
      <w:numFmt w:val="lowerRoman"/>
      <w:lvlText w:val="%9."/>
      <w:lvlJc w:val="left"/>
      <w:pPr>
        <w:ind w:left="7690" w:hanging="360"/>
      </w:pPr>
      <w:rPr>
        <w:rFonts w:hint="default"/>
      </w:rPr>
    </w:lvl>
  </w:abstractNum>
  <w:abstractNum w:abstractNumId="6" w15:restartNumberingAfterBreak="0">
    <w:nsid w:val="2DFD0319"/>
    <w:multiLevelType w:val="multilevel"/>
    <w:tmpl w:val="8AA68E72"/>
    <w:numStyleLink w:val="Numbeedlist"/>
  </w:abstractNum>
  <w:abstractNum w:abstractNumId="7" w15:restartNumberingAfterBreak="0">
    <w:nsid w:val="2EC1564B"/>
    <w:multiLevelType w:val="multilevel"/>
    <w:tmpl w:val="117651BC"/>
    <w:lvl w:ilvl="0">
      <w:start w:val="1"/>
      <w:numFmt w:val="upperRoman"/>
      <w:pStyle w:val="OutlineheadingA"/>
      <w:lvlText w:val="%1."/>
      <w:lvlJc w:val="left"/>
      <w:pPr>
        <w:tabs>
          <w:tab w:val="num" w:pos="1080"/>
        </w:tabs>
        <w:ind w:left="1080" w:hanging="1008"/>
      </w:pPr>
      <w:rPr>
        <w:rFonts w:ascii="Times New Roman Bold" w:hAnsi="Times New Roman Bold" w:hint="default"/>
        <w:b/>
        <w:i w:val="0"/>
        <w:sz w:val="26"/>
      </w:rPr>
    </w:lvl>
    <w:lvl w:ilvl="1">
      <w:start w:val="1"/>
      <w:numFmt w:val="upperLetter"/>
      <w:lvlText w:val="%2."/>
      <w:lvlJc w:val="left"/>
      <w:pPr>
        <w:tabs>
          <w:tab w:val="num" w:pos="2160"/>
        </w:tabs>
        <w:ind w:left="2160" w:hanging="720"/>
      </w:pPr>
      <w:rPr>
        <w:rFonts w:ascii="Times New Roman Bold" w:hAnsi="Times New Roman Bold" w:hint="default"/>
        <w:b/>
        <w:i w:val="0"/>
        <w:sz w:val="24"/>
      </w:rPr>
    </w:lvl>
    <w:lvl w:ilvl="2">
      <w:start w:val="1"/>
      <w:numFmt w:val="decimal"/>
      <w:lvlText w:val="%3."/>
      <w:lvlJc w:val="left"/>
      <w:pPr>
        <w:tabs>
          <w:tab w:val="num" w:pos="2880"/>
        </w:tabs>
        <w:ind w:left="2880" w:hanging="720"/>
      </w:pPr>
      <w:rPr>
        <w:rFonts w:ascii="Times New Roman Bold" w:hAnsi="Times New Roman Bold" w:hint="default"/>
        <w:b/>
        <w:i w:val="0"/>
        <w:sz w:val="24"/>
      </w:rPr>
    </w:lvl>
    <w:lvl w:ilvl="3">
      <w:start w:val="1"/>
      <w:numFmt w:val="lowerLetter"/>
      <w:lvlText w:val="(%4)"/>
      <w:lvlJc w:val="left"/>
      <w:pPr>
        <w:tabs>
          <w:tab w:val="num" w:pos="2880"/>
        </w:tabs>
        <w:ind w:left="2880" w:hanging="720"/>
      </w:pPr>
      <w:rPr>
        <w:rFonts w:hint="default"/>
      </w:rPr>
    </w:lvl>
    <w:lvl w:ilvl="4">
      <w:start w:val="1"/>
      <w:numFmt w:val="none"/>
      <w:lvlText w:val="(i)"/>
      <w:lvlJc w:val="left"/>
      <w:pPr>
        <w:tabs>
          <w:tab w:val="num" w:pos="360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04336AE"/>
    <w:multiLevelType w:val="multilevel"/>
    <w:tmpl w:val="EF308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A7072E"/>
    <w:multiLevelType w:val="hybridMultilevel"/>
    <w:tmpl w:val="553A1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7157B4"/>
    <w:multiLevelType w:val="hybridMultilevel"/>
    <w:tmpl w:val="CA2C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F20B28"/>
    <w:multiLevelType w:val="multilevel"/>
    <w:tmpl w:val="52DC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56E23"/>
    <w:multiLevelType w:val="hybridMultilevel"/>
    <w:tmpl w:val="F334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9F679C"/>
    <w:multiLevelType w:val="multilevel"/>
    <w:tmpl w:val="32AE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3017BC"/>
    <w:multiLevelType w:val="hybridMultilevel"/>
    <w:tmpl w:val="81FAD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97184"/>
    <w:multiLevelType w:val="multilevel"/>
    <w:tmpl w:val="8AA68E72"/>
    <w:numStyleLink w:val="Numbeedlist"/>
  </w:abstractNum>
  <w:abstractNum w:abstractNumId="16" w15:restartNumberingAfterBreak="0">
    <w:nsid w:val="55BE3015"/>
    <w:multiLevelType w:val="multilevel"/>
    <w:tmpl w:val="8AA68E72"/>
    <w:numStyleLink w:val="Numbeedlist"/>
  </w:abstractNum>
  <w:abstractNum w:abstractNumId="17" w15:restartNumberingAfterBreak="0">
    <w:nsid w:val="56EB2FC4"/>
    <w:multiLevelType w:val="multilevel"/>
    <w:tmpl w:val="397C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C168AE"/>
    <w:multiLevelType w:val="hybridMultilevel"/>
    <w:tmpl w:val="76BEB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EE4C93"/>
    <w:multiLevelType w:val="multilevel"/>
    <w:tmpl w:val="EC1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320BE8"/>
    <w:multiLevelType w:val="multilevel"/>
    <w:tmpl w:val="11D69C4C"/>
    <w:lvl w:ilvl="0">
      <w:start w:val="1"/>
      <w:numFmt w:val="upperRoman"/>
      <w:lvlText w:val="%1."/>
      <w:lvlJc w:val="left"/>
      <w:pPr>
        <w:tabs>
          <w:tab w:val="num" w:pos="720"/>
        </w:tabs>
        <w:ind w:left="720" w:hanging="720"/>
      </w:pPr>
      <w:rPr>
        <w:rFonts w:ascii="Times New Roman" w:hAnsi="Times New Roman" w:hint="default"/>
        <w:b w:val="0"/>
        <w:i w:val="0"/>
        <w:sz w:val="24"/>
      </w:rPr>
    </w:lvl>
    <w:lvl w:ilvl="1">
      <w:start w:val="1"/>
      <w:numFmt w:val="upperLetter"/>
      <w:pStyle w:val="A"/>
      <w:lvlText w:val="%2."/>
      <w:lvlJc w:val="left"/>
      <w:pPr>
        <w:tabs>
          <w:tab w:val="num" w:pos="1440"/>
        </w:tabs>
        <w:ind w:left="1440" w:hanging="720"/>
      </w:pPr>
    </w:lvl>
    <w:lvl w:ilvl="2">
      <w:start w:val="1"/>
      <w:numFmt w:val="decimal"/>
      <w:pStyle w:val="1"/>
      <w:lvlText w:val="%3."/>
      <w:lvlJc w:val="left"/>
      <w:pPr>
        <w:tabs>
          <w:tab w:val="num" w:pos="2160"/>
        </w:tabs>
        <w:ind w:left="2160" w:hanging="720"/>
      </w:pPr>
    </w:lvl>
    <w:lvl w:ilvl="3">
      <w:start w:val="1"/>
      <w:numFmt w:val="lowerLetter"/>
      <w:pStyle w:val="a0"/>
      <w:lvlText w:val="(%4)"/>
      <w:lvlJc w:val="left"/>
      <w:pPr>
        <w:tabs>
          <w:tab w:val="num" w:pos="2880"/>
        </w:tabs>
        <w:ind w:left="2880" w:hanging="720"/>
      </w:pPr>
    </w:lvl>
    <w:lvl w:ilvl="4">
      <w:start w:val="1"/>
      <w:numFmt w:val="none"/>
      <w:lvlText w:val="(i)"/>
      <w:lvlJc w:val="left"/>
      <w:pPr>
        <w:tabs>
          <w:tab w:val="num" w:pos="3600"/>
        </w:tabs>
        <w:ind w:left="3600" w:hanging="72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7403614E"/>
    <w:multiLevelType w:val="hybridMultilevel"/>
    <w:tmpl w:val="92F8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D84895"/>
    <w:multiLevelType w:val="multilevel"/>
    <w:tmpl w:val="5CEE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F770E8"/>
    <w:multiLevelType w:val="multilevel"/>
    <w:tmpl w:val="AAB0A454"/>
    <w:styleLink w:val="Outline"/>
    <w:lvl w:ilvl="0">
      <w:start w:val="1"/>
      <w:numFmt w:val="upperRoman"/>
      <w:pStyle w:val="List"/>
      <w:lvlText w:val="%1."/>
      <w:lvlJc w:val="left"/>
      <w:pPr>
        <w:ind w:left="360" w:hanging="360"/>
      </w:pPr>
      <w:rPr>
        <w:rFonts w:hint="default"/>
      </w:rPr>
    </w:lvl>
    <w:lvl w:ilvl="1">
      <w:start w:val="1"/>
      <w:numFmt w:val="upperLetter"/>
      <w:pStyle w:val="List2"/>
      <w:lvlText w:val="%2."/>
      <w:lvlJc w:val="left"/>
      <w:pPr>
        <w:ind w:left="720" w:hanging="360"/>
      </w:pPr>
      <w:rPr>
        <w:rFonts w:hint="default"/>
      </w:rPr>
    </w:lvl>
    <w:lvl w:ilvl="2">
      <w:start w:val="1"/>
      <w:numFmt w:val="decimal"/>
      <w:pStyle w:val="List3"/>
      <w:lvlText w:val="%3."/>
      <w:lvlJc w:val="left"/>
      <w:pPr>
        <w:ind w:left="1080" w:hanging="360"/>
      </w:pPr>
      <w:rPr>
        <w:rFonts w:hint="default"/>
      </w:rPr>
    </w:lvl>
    <w:lvl w:ilvl="3">
      <w:start w:val="1"/>
      <w:numFmt w:val="lowerLetter"/>
      <w:pStyle w:val="List4"/>
      <w:lvlText w:val="(%4)"/>
      <w:lvlJc w:val="left"/>
      <w:pPr>
        <w:ind w:left="1440" w:hanging="360"/>
      </w:pPr>
      <w:rPr>
        <w:rFonts w:hint="default"/>
      </w:rPr>
    </w:lvl>
    <w:lvl w:ilvl="4">
      <w:start w:val="1"/>
      <w:numFmt w:val="lowerRoman"/>
      <w:pStyle w:val="List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B1B142B"/>
    <w:multiLevelType w:val="multilevel"/>
    <w:tmpl w:val="C45C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AE6CD8"/>
    <w:multiLevelType w:val="multilevel"/>
    <w:tmpl w:val="1898F00E"/>
    <w:lvl w:ilvl="0">
      <w:start w:val="1"/>
      <w:numFmt w:val="upperRoman"/>
      <w:lvlText w:val="%1."/>
      <w:lvlJc w:val="left"/>
      <w:pPr>
        <w:tabs>
          <w:tab w:val="num" w:pos="720"/>
        </w:tabs>
        <w:ind w:left="720" w:hanging="720"/>
      </w:pPr>
      <w:rPr>
        <w:rFonts w:ascii="Times New Roman" w:hAnsi="Times New Roman" w:hint="default"/>
        <w:b w:val="0"/>
        <w:i w:val="0"/>
        <w:sz w:val="24"/>
      </w:rPr>
    </w:lvl>
    <w:lvl w:ilvl="1">
      <w:start w:val="1"/>
      <w:numFmt w:val="upperLetter"/>
      <w:pStyle w:val="BodyText2"/>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pStyle w:val="Johna"/>
      <w:lvlText w:val="(%4)"/>
      <w:lvlJc w:val="left"/>
      <w:pPr>
        <w:tabs>
          <w:tab w:val="num" w:pos="2880"/>
        </w:tabs>
        <w:ind w:left="2880" w:hanging="720"/>
      </w:pPr>
      <w:rPr>
        <w:rFonts w:hint="default"/>
      </w:rPr>
    </w:lvl>
    <w:lvl w:ilvl="4">
      <w:start w:val="1"/>
      <w:numFmt w:val="none"/>
      <w:lvlText w:val="(i)"/>
      <w:lvlJc w:val="left"/>
      <w:pPr>
        <w:tabs>
          <w:tab w:val="num" w:pos="360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2"/>
  </w:num>
  <w:num w:numId="2">
    <w:abstractNumId w:val="7"/>
  </w:num>
  <w:num w:numId="3">
    <w:abstractNumId w:val="0"/>
  </w:num>
  <w:num w:numId="4">
    <w:abstractNumId w:val="20"/>
  </w:num>
  <w:num w:numId="5">
    <w:abstractNumId w:val="20"/>
  </w:num>
  <w:num w:numId="6">
    <w:abstractNumId w:val="20"/>
  </w:num>
  <w:num w:numId="7">
    <w:abstractNumId w:val="25"/>
  </w:num>
  <w:num w:numId="8">
    <w:abstractNumId w:val="25"/>
  </w:num>
  <w:num w:numId="9">
    <w:abstractNumId w:val="25"/>
  </w:num>
  <w:num w:numId="10">
    <w:abstractNumId w:val="25"/>
  </w:num>
  <w:num w:numId="11">
    <w:abstractNumId w:val="23"/>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23"/>
  </w:num>
  <w:num w:numId="20">
    <w:abstractNumId w:val="23"/>
  </w:num>
  <w:num w:numId="21">
    <w:abstractNumId w:val="5"/>
  </w:num>
  <w:num w:numId="22">
    <w:abstractNumId w:val="6"/>
  </w:num>
  <w:num w:numId="23">
    <w:abstractNumId w:val="16"/>
  </w:num>
  <w:num w:numId="24">
    <w:abstractNumId w:val="5"/>
  </w:num>
  <w:num w:numId="25">
    <w:abstractNumId w:val="5"/>
  </w:num>
  <w:num w:numId="26">
    <w:abstractNumId w:val="5"/>
  </w:num>
  <w:num w:numId="27">
    <w:abstractNumId w:val="15"/>
  </w:num>
  <w:num w:numId="28">
    <w:abstractNumId w:val="18"/>
  </w:num>
  <w:num w:numId="29">
    <w:abstractNumId w:val="17"/>
  </w:num>
  <w:num w:numId="30">
    <w:abstractNumId w:val="22"/>
  </w:num>
  <w:num w:numId="31">
    <w:abstractNumId w:val="1"/>
  </w:num>
  <w:num w:numId="32">
    <w:abstractNumId w:val="24"/>
  </w:num>
  <w:num w:numId="33">
    <w:abstractNumId w:val="13"/>
  </w:num>
  <w:num w:numId="34">
    <w:abstractNumId w:val="10"/>
  </w:num>
  <w:num w:numId="35">
    <w:abstractNumId w:val="12"/>
  </w:num>
  <w:num w:numId="36">
    <w:abstractNumId w:val="21"/>
  </w:num>
  <w:num w:numId="37">
    <w:abstractNumId w:val="9"/>
  </w:num>
  <w:num w:numId="38">
    <w:abstractNumId w:val="19"/>
  </w:num>
  <w:num w:numId="39">
    <w:abstractNumId w:val="8"/>
  </w:num>
  <w:num w:numId="40">
    <w:abstractNumId w:val="4"/>
  </w:num>
  <w:num w:numId="41">
    <w:abstractNumId w:val="14"/>
  </w:num>
  <w:num w:numId="42">
    <w:abstractNumId w:val="3"/>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9F5"/>
    <w:rsid w:val="00003DFD"/>
    <w:rsid w:val="000046BD"/>
    <w:rsid w:val="0000480C"/>
    <w:rsid w:val="00004B5C"/>
    <w:rsid w:val="000055EB"/>
    <w:rsid w:val="0000612A"/>
    <w:rsid w:val="00006A68"/>
    <w:rsid w:val="0001051E"/>
    <w:rsid w:val="00010A31"/>
    <w:rsid w:val="00010D4C"/>
    <w:rsid w:val="000110B6"/>
    <w:rsid w:val="0001173C"/>
    <w:rsid w:val="00011E7B"/>
    <w:rsid w:val="00011FB7"/>
    <w:rsid w:val="00012261"/>
    <w:rsid w:val="00012A2F"/>
    <w:rsid w:val="00012F26"/>
    <w:rsid w:val="0001329D"/>
    <w:rsid w:val="000133F4"/>
    <w:rsid w:val="000171DD"/>
    <w:rsid w:val="000177B5"/>
    <w:rsid w:val="00020713"/>
    <w:rsid w:val="00022D24"/>
    <w:rsid w:val="00022EC6"/>
    <w:rsid w:val="000244A1"/>
    <w:rsid w:val="00025351"/>
    <w:rsid w:val="000260A3"/>
    <w:rsid w:val="000263CB"/>
    <w:rsid w:val="0002696A"/>
    <w:rsid w:val="000269DA"/>
    <w:rsid w:val="00026A5C"/>
    <w:rsid w:val="00026D57"/>
    <w:rsid w:val="00027885"/>
    <w:rsid w:val="00031567"/>
    <w:rsid w:val="00031E98"/>
    <w:rsid w:val="000343FB"/>
    <w:rsid w:val="00037352"/>
    <w:rsid w:val="000378F3"/>
    <w:rsid w:val="000403E5"/>
    <w:rsid w:val="00041F53"/>
    <w:rsid w:val="00042929"/>
    <w:rsid w:val="00042AEA"/>
    <w:rsid w:val="00042B01"/>
    <w:rsid w:val="00042EAF"/>
    <w:rsid w:val="00043476"/>
    <w:rsid w:val="00043BD0"/>
    <w:rsid w:val="00043C40"/>
    <w:rsid w:val="00044E80"/>
    <w:rsid w:val="00045766"/>
    <w:rsid w:val="000459BB"/>
    <w:rsid w:val="000465B2"/>
    <w:rsid w:val="00046A18"/>
    <w:rsid w:val="00046DC4"/>
    <w:rsid w:val="00050B53"/>
    <w:rsid w:val="00052103"/>
    <w:rsid w:val="0005399C"/>
    <w:rsid w:val="000551C7"/>
    <w:rsid w:val="00055C5E"/>
    <w:rsid w:val="00055D61"/>
    <w:rsid w:val="00055E84"/>
    <w:rsid w:val="00056943"/>
    <w:rsid w:val="00056D5A"/>
    <w:rsid w:val="00056E82"/>
    <w:rsid w:val="000572BA"/>
    <w:rsid w:val="000577DD"/>
    <w:rsid w:val="00057D85"/>
    <w:rsid w:val="0006066F"/>
    <w:rsid w:val="00060D77"/>
    <w:rsid w:val="00060E7D"/>
    <w:rsid w:val="000610F4"/>
    <w:rsid w:val="00061466"/>
    <w:rsid w:val="00061597"/>
    <w:rsid w:val="00061623"/>
    <w:rsid w:val="000620D6"/>
    <w:rsid w:val="000623BA"/>
    <w:rsid w:val="000624EB"/>
    <w:rsid w:val="00062733"/>
    <w:rsid w:val="0006354B"/>
    <w:rsid w:val="00063CE8"/>
    <w:rsid w:val="00063D54"/>
    <w:rsid w:val="00064975"/>
    <w:rsid w:val="00065024"/>
    <w:rsid w:val="0006537A"/>
    <w:rsid w:val="000664ED"/>
    <w:rsid w:val="00067423"/>
    <w:rsid w:val="00067563"/>
    <w:rsid w:val="000713B5"/>
    <w:rsid w:val="00072244"/>
    <w:rsid w:val="00072AE8"/>
    <w:rsid w:val="00072BF1"/>
    <w:rsid w:val="00072C84"/>
    <w:rsid w:val="00073838"/>
    <w:rsid w:val="00073CE1"/>
    <w:rsid w:val="00074169"/>
    <w:rsid w:val="00074360"/>
    <w:rsid w:val="0007452B"/>
    <w:rsid w:val="00075B7B"/>
    <w:rsid w:val="00075DE1"/>
    <w:rsid w:val="0007605D"/>
    <w:rsid w:val="00080119"/>
    <w:rsid w:val="00081A09"/>
    <w:rsid w:val="00081D0B"/>
    <w:rsid w:val="0008206E"/>
    <w:rsid w:val="00084CB2"/>
    <w:rsid w:val="00085396"/>
    <w:rsid w:val="00085479"/>
    <w:rsid w:val="00085E0F"/>
    <w:rsid w:val="000864C0"/>
    <w:rsid w:val="00086638"/>
    <w:rsid w:val="0008672F"/>
    <w:rsid w:val="00087471"/>
    <w:rsid w:val="0008771A"/>
    <w:rsid w:val="00087D0B"/>
    <w:rsid w:val="000904EE"/>
    <w:rsid w:val="00090697"/>
    <w:rsid w:val="0009097B"/>
    <w:rsid w:val="00090C18"/>
    <w:rsid w:val="000929BE"/>
    <w:rsid w:val="00092F2D"/>
    <w:rsid w:val="000930CC"/>
    <w:rsid w:val="0009318F"/>
    <w:rsid w:val="000932C3"/>
    <w:rsid w:val="00093E49"/>
    <w:rsid w:val="00094452"/>
    <w:rsid w:val="0009512A"/>
    <w:rsid w:val="000952D9"/>
    <w:rsid w:val="000954E8"/>
    <w:rsid w:val="00095946"/>
    <w:rsid w:val="00095B09"/>
    <w:rsid w:val="00097BA2"/>
    <w:rsid w:val="000A0DB5"/>
    <w:rsid w:val="000A22E8"/>
    <w:rsid w:val="000A348D"/>
    <w:rsid w:val="000A36EF"/>
    <w:rsid w:val="000A3AA4"/>
    <w:rsid w:val="000A4D58"/>
    <w:rsid w:val="000A5FC0"/>
    <w:rsid w:val="000A696E"/>
    <w:rsid w:val="000A7EC4"/>
    <w:rsid w:val="000B0998"/>
    <w:rsid w:val="000B17DC"/>
    <w:rsid w:val="000B256A"/>
    <w:rsid w:val="000B277F"/>
    <w:rsid w:val="000B2CA5"/>
    <w:rsid w:val="000B3228"/>
    <w:rsid w:val="000B42C0"/>
    <w:rsid w:val="000B4E3C"/>
    <w:rsid w:val="000B57D3"/>
    <w:rsid w:val="000B5834"/>
    <w:rsid w:val="000B59F4"/>
    <w:rsid w:val="000B61A9"/>
    <w:rsid w:val="000B65C7"/>
    <w:rsid w:val="000B67AD"/>
    <w:rsid w:val="000B799C"/>
    <w:rsid w:val="000B7C00"/>
    <w:rsid w:val="000C1119"/>
    <w:rsid w:val="000C1CCB"/>
    <w:rsid w:val="000C1FB5"/>
    <w:rsid w:val="000C200F"/>
    <w:rsid w:val="000C2374"/>
    <w:rsid w:val="000C2F63"/>
    <w:rsid w:val="000C32DC"/>
    <w:rsid w:val="000C44C9"/>
    <w:rsid w:val="000C493A"/>
    <w:rsid w:val="000C4BFE"/>
    <w:rsid w:val="000C4F13"/>
    <w:rsid w:val="000C56F9"/>
    <w:rsid w:val="000C5A88"/>
    <w:rsid w:val="000C60C7"/>
    <w:rsid w:val="000C617E"/>
    <w:rsid w:val="000D0A51"/>
    <w:rsid w:val="000D0B0E"/>
    <w:rsid w:val="000D2609"/>
    <w:rsid w:val="000D26B3"/>
    <w:rsid w:val="000D26B7"/>
    <w:rsid w:val="000D2AD5"/>
    <w:rsid w:val="000D2C3E"/>
    <w:rsid w:val="000D2F42"/>
    <w:rsid w:val="000D39D2"/>
    <w:rsid w:val="000D459C"/>
    <w:rsid w:val="000D45CA"/>
    <w:rsid w:val="000D51D6"/>
    <w:rsid w:val="000D5A02"/>
    <w:rsid w:val="000D6B47"/>
    <w:rsid w:val="000D6DA5"/>
    <w:rsid w:val="000D7572"/>
    <w:rsid w:val="000E0428"/>
    <w:rsid w:val="000E091C"/>
    <w:rsid w:val="000E1037"/>
    <w:rsid w:val="000E2E26"/>
    <w:rsid w:val="000E2F5C"/>
    <w:rsid w:val="000E408B"/>
    <w:rsid w:val="000E42CE"/>
    <w:rsid w:val="000E4B73"/>
    <w:rsid w:val="000E50C6"/>
    <w:rsid w:val="000E59E5"/>
    <w:rsid w:val="000E5B38"/>
    <w:rsid w:val="000E5C6E"/>
    <w:rsid w:val="000E6510"/>
    <w:rsid w:val="000E6D74"/>
    <w:rsid w:val="000E71C9"/>
    <w:rsid w:val="000F00AF"/>
    <w:rsid w:val="000F0D37"/>
    <w:rsid w:val="000F102B"/>
    <w:rsid w:val="000F12C8"/>
    <w:rsid w:val="000F1F45"/>
    <w:rsid w:val="000F21E4"/>
    <w:rsid w:val="000F2427"/>
    <w:rsid w:val="000F398E"/>
    <w:rsid w:val="000F3BBD"/>
    <w:rsid w:val="000F4E90"/>
    <w:rsid w:val="000F6254"/>
    <w:rsid w:val="000F72CD"/>
    <w:rsid w:val="000F7FF6"/>
    <w:rsid w:val="001004D2"/>
    <w:rsid w:val="00101218"/>
    <w:rsid w:val="0010170A"/>
    <w:rsid w:val="00101868"/>
    <w:rsid w:val="001018F5"/>
    <w:rsid w:val="0010364D"/>
    <w:rsid w:val="00104BF9"/>
    <w:rsid w:val="00104C14"/>
    <w:rsid w:val="0010619D"/>
    <w:rsid w:val="00106340"/>
    <w:rsid w:val="001076DD"/>
    <w:rsid w:val="0011023C"/>
    <w:rsid w:val="00110E50"/>
    <w:rsid w:val="00111559"/>
    <w:rsid w:val="00111FFA"/>
    <w:rsid w:val="00113F30"/>
    <w:rsid w:val="0011495E"/>
    <w:rsid w:val="00115A86"/>
    <w:rsid w:val="00116D1E"/>
    <w:rsid w:val="00117039"/>
    <w:rsid w:val="00117696"/>
    <w:rsid w:val="00117F2F"/>
    <w:rsid w:val="00120608"/>
    <w:rsid w:val="00121683"/>
    <w:rsid w:val="00121DD1"/>
    <w:rsid w:val="00122F5B"/>
    <w:rsid w:val="00123308"/>
    <w:rsid w:val="001236FE"/>
    <w:rsid w:val="00123793"/>
    <w:rsid w:val="0012403F"/>
    <w:rsid w:val="00124C0D"/>
    <w:rsid w:val="00125761"/>
    <w:rsid w:val="0012582B"/>
    <w:rsid w:val="00125960"/>
    <w:rsid w:val="001259ED"/>
    <w:rsid w:val="00125F52"/>
    <w:rsid w:val="00126313"/>
    <w:rsid w:val="00126455"/>
    <w:rsid w:val="00126FBF"/>
    <w:rsid w:val="00130167"/>
    <w:rsid w:val="0013023B"/>
    <w:rsid w:val="00130708"/>
    <w:rsid w:val="00130728"/>
    <w:rsid w:val="00131A84"/>
    <w:rsid w:val="001324CB"/>
    <w:rsid w:val="00132B20"/>
    <w:rsid w:val="00134105"/>
    <w:rsid w:val="001341C5"/>
    <w:rsid w:val="00134705"/>
    <w:rsid w:val="00134F72"/>
    <w:rsid w:val="001350DB"/>
    <w:rsid w:val="001354F4"/>
    <w:rsid w:val="001355B2"/>
    <w:rsid w:val="00135E59"/>
    <w:rsid w:val="00136128"/>
    <w:rsid w:val="00136456"/>
    <w:rsid w:val="00136D67"/>
    <w:rsid w:val="0013781E"/>
    <w:rsid w:val="0014110B"/>
    <w:rsid w:val="0014151E"/>
    <w:rsid w:val="00141EC8"/>
    <w:rsid w:val="00142519"/>
    <w:rsid w:val="00142F01"/>
    <w:rsid w:val="001443DF"/>
    <w:rsid w:val="00144568"/>
    <w:rsid w:val="00144E26"/>
    <w:rsid w:val="00145883"/>
    <w:rsid w:val="00146880"/>
    <w:rsid w:val="00147239"/>
    <w:rsid w:val="00147CA5"/>
    <w:rsid w:val="00150972"/>
    <w:rsid w:val="0015112C"/>
    <w:rsid w:val="00151548"/>
    <w:rsid w:val="00151AF6"/>
    <w:rsid w:val="00151B57"/>
    <w:rsid w:val="00151CE7"/>
    <w:rsid w:val="00152127"/>
    <w:rsid w:val="001521E0"/>
    <w:rsid w:val="00152BC8"/>
    <w:rsid w:val="001556BF"/>
    <w:rsid w:val="0015608E"/>
    <w:rsid w:val="001572D0"/>
    <w:rsid w:val="00157495"/>
    <w:rsid w:val="00157AA7"/>
    <w:rsid w:val="0016044C"/>
    <w:rsid w:val="001629A0"/>
    <w:rsid w:val="00162A0E"/>
    <w:rsid w:val="00163F3E"/>
    <w:rsid w:val="00164081"/>
    <w:rsid w:val="00164E8F"/>
    <w:rsid w:val="001658B9"/>
    <w:rsid w:val="00165F8D"/>
    <w:rsid w:val="0016634D"/>
    <w:rsid w:val="001710EF"/>
    <w:rsid w:val="00171604"/>
    <w:rsid w:val="00172074"/>
    <w:rsid w:val="00172389"/>
    <w:rsid w:val="00172789"/>
    <w:rsid w:val="001729D2"/>
    <w:rsid w:val="00172E02"/>
    <w:rsid w:val="001744E7"/>
    <w:rsid w:val="00174BA2"/>
    <w:rsid w:val="00174F46"/>
    <w:rsid w:val="00175344"/>
    <w:rsid w:val="0017537C"/>
    <w:rsid w:val="00175C05"/>
    <w:rsid w:val="001760FD"/>
    <w:rsid w:val="00176129"/>
    <w:rsid w:val="0017708B"/>
    <w:rsid w:val="001770D3"/>
    <w:rsid w:val="00177384"/>
    <w:rsid w:val="001800AF"/>
    <w:rsid w:val="00180463"/>
    <w:rsid w:val="00181681"/>
    <w:rsid w:val="00181C2C"/>
    <w:rsid w:val="001827DA"/>
    <w:rsid w:val="00182929"/>
    <w:rsid w:val="00185052"/>
    <w:rsid w:val="00185B3B"/>
    <w:rsid w:val="00185D20"/>
    <w:rsid w:val="00186200"/>
    <w:rsid w:val="001864E4"/>
    <w:rsid w:val="00186A38"/>
    <w:rsid w:val="0018746E"/>
    <w:rsid w:val="0018765D"/>
    <w:rsid w:val="00187B2C"/>
    <w:rsid w:val="00191867"/>
    <w:rsid w:val="00191E69"/>
    <w:rsid w:val="001922D2"/>
    <w:rsid w:val="001926E0"/>
    <w:rsid w:val="00193CA4"/>
    <w:rsid w:val="00193FD0"/>
    <w:rsid w:val="00194502"/>
    <w:rsid w:val="001953DA"/>
    <w:rsid w:val="001957BF"/>
    <w:rsid w:val="00195993"/>
    <w:rsid w:val="00195A4C"/>
    <w:rsid w:val="00196C64"/>
    <w:rsid w:val="00196F35"/>
    <w:rsid w:val="0019735B"/>
    <w:rsid w:val="001A0F7F"/>
    <w:rsid w:val="001A2270"/>
    <w:rsid w:val="001A271A"/>
    <w:rsid w:val="001A2E4A"/>
    <w:rsid w:val="001A52B3"/>
    <w:rsid w:val="001A52E9"/>
    <w:rsid w:val="001A613A"/>
    <w:rsid w:val="001A6500"/>
    <w:rsid w:val="001A7154"/>
    <w:rsid w:val="001A74CF"/>
    <w:rsid w:val="001A77D2"/>
    <w:rsid w:val="001A7C2A"/>
    <w:rsid w:val="001B03CA"/>
    <w:rsid w:val="001B0723"/>
    <w:rsid w:val="001B1632"/>
    <w:rsid w:val="001B1763"/>
    <w:rsid w:val="001B1BA5"/>
    <w:rsid w:val="001B1D12"/>
    <w:rsid w:val="001B212B"/>
    <w:rsid w:val="001B2973"/>
    <w:rsid w:val="001B34D3"/>
    <w:rsid w:val="001B35F5"/>
    <w:rsid w:val="001B3E34"/>
    <w:rsid w:val="001B42FB"/>
    <w:rsid w:val="001B4396"/>
    <w:rsid w:val="001B7D87"/>
    <w:rsid w:val="001C1EE6"/>
    <w:rsid w:val="001C25C9"/>
    <w:rsid w:val="001C305F"/>
    <w:rsid w:val="001C535B"/>
    <w:rsid w:val="001C5E39"/>
    <w:rsid w:val="001C712A"/>
    <w:rsid w:val="001C7CA5"/>
    <w:rsid w:val="001D043A"/>
    <w:rsid w:val="001D12A5"/>
    <w:rsid w:val="001D17FC"/>
    <w:rsid w:val="001D1A27"/>
    <w:rsid w:val="001D2B6F"/>
    <w:rsid w:val="001D4066"/>
    <w:rsid w:val="001D460E"/>
    <w:rsid w:val="001D4959"/>
    <w:rsid w:val="001D4B62"/>
    <w:rsid w:val="001D59DB"/>
    <w:rsid w:val="001D5C76"/>
    <w:rsid w:val="001D6053"/>
    <w:rsid w:val="001D6065"/>
    <w:rsid w:val="001D634B"/>
    <w:rsid w:val="001D6662"/>
    <w:rsid w:val="001D68EF"/>
    <w:rsid w:val="001D6B41"/>
    <w:rsid w:val="001D6D7B"/>
    <w:rsid w:val="001D6E14"/>
    <w:rsid w:val="001D7492"/>
    <w:rsid w:val="001D7A7C"/>
    <w:rsid w:val="001D7C92"/>
    <w:rsid w:val="001D7FCA"/>
    <w:rsid w:val="001E1AC2"/>
    <w:rsid w:val="001E1BA1"/>
    <w:rsid w:val="001E21BB"/>
    <w:rsid w:val="001E2909"/>
    <w:rsid w:val="001E2B4C"/>
    <w:rsid w:val="001E2F24"/>
    <w:rsid w:val="001E38FE"/>
    <w:rsid w:val="001E4696"/>
    <w:rsid w:val="001E5143"/>
    <w:rsid w:val="001E51B9"/>
    <w:rsid w:val="001E5ABB"/>
    <w:rsid w:val="001E66BD"/>
    <w:rsid w:val="001E7010"/>
    <w:rsid w:val="001E73BF"/>
    <w:rsid w:val="001E75DD"/>
    <w:rsid w:val="001E7EEB"/>
    <w:rsid w:val="001F09AE"/>
    <w:rsid w:val="001F2CE8"/>
    <w:rsid w:val="001F41DE"/>
    <w:rsid w:val="001F6E3D"/>
    <w:rsid w:val="00201183"/>
    <w:rsid w:val="002011D5"/>
    <w:rsid w:val="00201451"/>
    <w:rsid w:val="00203239"/>
    <w:rsid w:val="002032DE"/>
    <w:rsid w:val="00203C6C"/>
    <w:rsid w:val="00204085"/>
    <w:rsid w:val="00204106"/>
    <w:rsid w:val="00204747"/>
    <w:rsid w:val="002049A5"/>
    <w:rsid w:val="00205DD0"/>
    <w:rsid w:val="00206B5A"/>
    <w:rsid w:val="00206CA2"/>
    <w:rsid w:val="002105CA"/>
    <w:rsid w:val="00210788"/>
    <w:rsid w:val="00210BAB"/>
    <w:rsid w:val="00210F1C"/>
    <w:rsid w:val="00210FFC"/>
    <w:rsid w:val="002112DD"/>
    <w:rsid w:val="0021196B"/>
    <w:rsid w:val="00212045"/>
    <w:rsid w:val="00212655"/>
    <w:rsid w:val="00212B94"/>
    <w:rsid w:val="0021325E"/>
    <w:rsid w:val="00213B1E"/>
    <w:rsid w:val="002142E1"/>
    <w:rsid w:val="0021517F"/>
    <w:rsid w:val="00215438"/>
    <w:rsid w:val="00215733"/>
    <w:rsid w:val="00216779"/>
    <w:rsid w:val="00217ED4"/>
    <w:rsid w:val="00221676"/>
    <w:rsid w:val="0022188D"/>
    <w:rsid w:val="00222448"/>
    <w:rsid w:val="0022299E"/>
    <w:rsid w:val="00223ED2"/>
    <w:rsid w:val="002240D8"/>
    <w:rsid w:val="002243BF"/>
    <w:rsid w:val="00225BE0"/>
    <w:rsid w:val="00225E8F"/>
    <w:rsid w:val="0022600C"/>
    <w:rsid w:val="0022716F"/>
    <w:rsid w:val="00227AB9"/>
    <w:rsid w:val="00230AC4"/>
    <w:rsid w:val="0023122E"/>
    <w:rsid w:val="00231324"/>
    <w:rsid w:val="0023145F"/>
    <w:rsid w:val="0023292D"/>
    <w:rsid w:val="00235D1F"/>
    <w:rsid w:val="00235D77"/>
    <w:rsid w:val="00236339"/>
    <w:rsid w:val="0023680A"/>
    <w:rsid w:val="00236D06"/>
    <w:rsid w:val="00236F53"/>
    <w:rsid w:val="0024042D"/>
    <w:rsid w:val="0024046D"/>
    <w:rsid w:val="002411B0"/>
    <w:rsid w:val="002412C6"/>
    <w:rsid w:val="002415EC"/>
    <w:rsid w:val="002420CC"/>
    <w:rsid w:val="00243236"/>
    <w:rsid w:val="00243BBD"/>
    <w:rsid w:val="00245746"/>
    <w:rsid w:val="00245A0E"/>
    <w:rsid w:val="00245C64"/>
    <w:rsid w:val="00246563"/>
    <w:rsid w:val="00246628"/>
    <w:rsid w:val="0024728E"/>
    <w:rsid w:val="00247600"/>
    <w:rsid w:val="00250798"/>
    <w:rsid w:val="002517D3"/>
    <w:rsid w:val="00253B25"/>
    <w:rsid w:val="00253B88"/>
    <w:rsid w:val="00253C42"/>
    <w:rsid w:val="00254619"/>
    <w:rsid w:val="002555FF"/>
    <w:rsid w:val="00255BE3"/>
    <w:rsid w:val="00257B56"/>
    <w:rsid w:val="00257BF0"/>
    <w:rsid w:val="00257C09"/>
    <w:rsid w:val="00257D1A"/>
    <w:rsid w:val="00260639"/>
    <w:rsid w:val="00260EA9"/>
    <w:rsid w:val="00261151"/>
    <w:rsid w:val="002614B1"/>
    <w:rsid w:val="0026176C"/>
    <w:rsid w:val="00262383"/>
    <w:rsid w:val="002628C9"/>
    <w:rsid w:val="00263C36"/>
    <w:rsid w:val="00263DB5"/>
    <w:rsid w:val="002640C6"/>
    <w:rsid w:val="0026453B"/>
    <w:rsid w:val="00264A14"/>
    <w:rsid w:val="00264D60"/>
    <w:rsid w:val="00265B7D"/>
    <w:rsid w:val="0026739F"/>
    <w:rsid w:val="00270963"/>
    <w:rsid w:val="00270B4D"/>
    <w:rsid w:val="00272043"/>
    <w:rsid w:val="002727A1"/>
    <w:rsid w:val="00272FDB"/>
    <w:rsid w:val="002733F3"/>
    <w:rsid w:val="00273980"/>
    <w:rsid w:val="00273FFA"/>
    <w:rsid w:val="00275294"/>
    <w:rsid w:val="0027533B"/>
    <w:rsid w:val="00275355"/>
    <w:rsid w:val="002754FE"/>
    <w:rsid w:val="002757C9"/>
    <w:rsid w:val="00275EC3"/>
    <w:rsid w:val="0027643E"/>
    <w:rsid w:val="00276A0F"/>
    <w:rsid w:val="00276A82"/>
    <w:rsid w:val="00277816"/>
    <w:rsid w:val="00277C5B"/>
    <w:rsid w:val="002807B5"/>
    <w:rsid w:val="002809D7"/>
    <w:rsid w:val="00281B22"/>
    <w:rsid w:val="00281BB3"/>
    <w:rsid w:val="00281EFC"/>
    <w:rsid w:val="002824E3"/>
    <w:rsid w:val="00282FFF"/>
    <w:rsid w:val="00283916"/>
    <w:rsid w:val="00285916"/>
    <w:rsid w:val="00287172"/>
    <w:rsid w:val="00287BD1"/>
    <w:rsid w:val="00287D83"/>
    <w:rsid w:val="0029003B"/>
    <w:rsid w:val="002901D0"/>
    <w:rsid w:val="0029084F"/>
    <w:rsid w:val="00291144"/>
    <w:rsid w:val="0029373D"/>
    <w:rsid w:val="00293EF6"/>
    <w:rsid w:val="00293F8D"/>
    <w:rsid w:val="002944FF"/>
    <w:rsid w:val="002953FF"/>
    <w:rsid w:val="00297418"/>
    <w:rsid w:val="00297712"/>
    <w:rsid w:val="002978A1"/>
    <w:rsid w:val="00297984"/>
    <w:rsid w:val="002A03AC"/>
    <w:rsid w:val="002A1965"/>
    <w:rsid w:val="002A256E"/>
    <w:rsid w:val="002A2C5E"/>
    <w:rsid w:val="002A4120"/>
    <w:rsid w:val="002A44BA"/>
    <w:rsid w:val="002A44EF"/>
    <w:rsid w:val="002A4928"/>
    <w:rsid w:val="002A54B5"/>
    <w:rsid w:val="002A6285"/>
    <w:rsid w:val="002A6FCB"/>
    <w:rsid w:val="002A75C2"/>
    <w:rsid w:val="002A7750"/>
    <w:rsid w:val="002A78F3"/>
    <w:rsid w:val="002A7BA2"/>
    <w:rsid w:val="002B015A"/>
    <w:rsid w:val="002B1622"/>
    <w:rsid w:val="002B172B"/>
    <w:rsid w:val="002B1D99"/>
    <w:rsid w:val="002B1D9B"/>
    <w:rsid w:val="002B1EA6"/>
    <w:rsid w:val="002B28DB"/>
    <w:rsid w:val="002B37BB"/>
    <w:rsid w:val="002B3827"/>
    <w:rsid w:val="002B4239"/>
    <w:rsid w:val="002B4467"/>
    <w:rsid w:val="002B453C"/>
    <w:rsid w:val="002B4973"/>
    <w:rsid w:val="002B4A7D"/>
    <w:rsid w:val="002B4C4B"/>
    <w:rsid w:val="002B5364"/>
    <w:rsid w:val="002B5A24"/>
    <w:rsid w:val="002B5B9F"/>
    <w:rsid w:val="002B5E07"/>
    <w:rsid w:val="002B68EE"/>
    <w:rsid w:val="002B6F7B"/>
    <w:rsid w:val="002B7A36"/>
    <w:rsid w:val="002B7A80"/>
    <w:rsid w:val="002C0532"/>
    <w:rsid w:val="002C1459"/>
    <w:rsid w:val="002C1646"/>
    <w:rsid w:val="002C1CBE"/>
    <w:rsid w:val="002C1DEF"/>
    <w:rsid w:val="002C2095"/>
    <w:rsid w:val="002C222D"/>
    <w:rsid w:val="002C2272"/>
    <w:rsid w:val="002C2DCA"/>
    <w:rsid w:val="002C3C80"/>
    <w:rsid w:val="002C4543"/>
    <w:rsid w:val="002C5656"/>
    <w:rsid w:val="002C5A96"/>
    <w:rsid w:val="002C6A60"/>
    <w:rsid w:val="002C6CE5"/>
    <w:rsid w:val="002C6E6A"/>
    <w:rsid w:val="002C7A38"/>
    <w:rsid w:val="002C7B20"/>
    <w:rsid w:val="002D0A94"/>
    <w:rsid w:val="002D1132"/>
    <w:rsid w:val="002D1DBF"/>
    <w:rsid w:val="002D1EDB"/>
    <w:rsid w:val="002D1EEE"/>
    <w:rsid w:val="002D276D"/>
    <w:rsid w:val="002D2BB3"/>
    <w:rsid w:val="002D42F7"/>
    <w:rsid w:val="002D501A"/>
    <w:rsid w:val="002D56A9"/>
    <w:rsid w:val="002D5E13"/>
    <w:rsid w:val="002D6708"/>
    <w:rsid w:val="002D6BED"/>
    <w:rsid w:val="002D7A3F"/>
    <w:rsid w:val="002D7EF8"/>
    <w:rsid w:val="002E0966"/>
    <w:rsid w:val="002E0E96"/>
    <w:rsid w:val="002E0ED2"/>
    <w:rsid w:val="002E0EEE"/>
    <w:rsid w:val="002E1F5C"/>
    <w:rsid w:val="002E2B0B"/>
    <w:rsid w:val="002E389D"/>
    <w:rsid w:val="002E3CA4"/>
    <w:rsid w:val="002E439B"/>
    <w:rsid w:val="002E4687"/>
    <w:rsid w:val="002E4DA0"/>
    <w:rsid w:val="002E533A"/>
    <w:rsid w:val="002E6F67"/>
    <w:rsid w:val="002E7149"/>
    <w:rsid w:val="002E7229"/>
    <w:rsid w:val="002F05B2"/>
    <w:rsid w:val="002F070A"/>
    <w:rsid w:val="002F1592"/>
    <w:rsid w:val="002F3067"/>
    <w:rsid w:val="002F3278"/>
    <w:rsid w:val="002F3AA2"/>
    <w:rsid w:val="002F3BEF"/>
    <w:rsid w:val="002F580F"/>
    <w:rsid w:val="002F583C"/>
    <w:rsid w:val="002F5A7B"/>
    <w:rsid w:val="002F5F31"/>
    <w:rsid w:val="002F69C5"/>
    <w:rsid w:val="0030044F"/>
    <w:rsid w:val="00300FA6"/>
    <w:rsid w:val="003031FA"/>
    <w:rsid w:val="003034BC"/>
    <w:rsid w:val="00304294"/>
    <w:rsid w:val="003069FD"/>
    <w:rsid w:val="00307474"/>
    <w:rsid w:val="0030748B"/>
    <w:rsid w:val="0030774D"/>
    <w:rsid w:val="003078D2"/>
    <w:rsid w:val="00307AF1"/>
    <w:rsid w:val="00310103"/>
    <w:rsid w:val="00310180"/>
    <w:rsid w:val="00310CC3"/>
    <w:rsid w:val="00310D74"/>
    <w:rsid w:val="0031283B"/>
    <w:rsid w:val="00312BFA"/>
    <w:rsid w:val="00313092"/>
    <w:rsid w:val="0031384F"/>
    <w:rsid w:val="00313D10"/>
    <w:rsid w:val="00314399"/>
    <w:rsid w:val="00314BAD"/>
    <w:rsid w:val="00315616"/>
    <w:rsid w:val="00315957"/>
    <w:rsid w:val="0031659D"/>
    <w:rsid w:val="00316C7E"/>
    <w:rsid w:val="0031742D"/>
    <w:rsid w:val="0031795C"/>
    <w:rsid w:val="003208D2"/>
    <w:rsid w:val="00321B86"/>
    <w:rsid w:val="00322981"/>
    <w:rsid w:val="00322B9E"/>
    <w:rsid w:val="00322FA6"/>
    <w:rsid w:val="003230BD"/>
    <w:rsid w:val="00323776"/>
    <w:rsid w:val="00324996"/>
    <w:rsid w:val="00324A22"/>
    <w:rsid w:val="003252A3"/>
    <w:rsid w:val="0032638B"/>
    <w:rsid w:val="00326648"/>
    <w:rsid w:val="00326AB4"/>
    <w:rsid w:val="003270C7"/>
    <w:rsid w:val="003272FA"/>
    <w:rsid w:val="00327422"/>
    <w:rsid w:val="00327847"/>
    <w:rsid w:val="003319B8"/>
    <w:rsid w:val="003322AB"/>
    <w:rsid w:val="00332313"/>
    <w:rsid w:val="00332418"/>
    <w:rsid w:val="0033295A"/>
    <w:rsid w:val="00332991"/>
    <w:rsid w:val="00332996"/>
    <w:rsid w:val="00333595"/>
    <w:rsid w:val="003343CA"/>
    <w:rsid w:val="003349F7"/>
    <w:rsid w:val="00334BE4"/>
    <w:rsid w:val="00334CEE"/>
    <w:rsid w:val="0033504D"/>
    <w:rsid w:val="0033542C"/>
    <w:rsid w:val="00335CDD"/>
    <w:rsid w:val="00335E72"/>
    <w:rsid w:val="003363DB"/>
    <w:rsid w:val="00337319"/>
    <w:rsid w:val="003405AD"/>
    <w:rsid w:val="00340B89"/>
    <w:rsid w:val="0034168A"/>
    <w:rsid w:val="00341837"/>
    <w:rsid w:val="00345DC9"/>
    <w:rsid w:val="003471CA"/>
    <w:rsid w:val="0035024B"/>
    <w:rsid w:val="00350299"/>
    <w:rsid w:val="00350F42"/>
    <w:rsid w:val="00351176"/>
    <w:rsid w:val="003513B2"/>
    <w:rsid w:val="00351655"/>
    <w:rsid w:val="003517A0"/>
    <w:rsid w:val="00351D80"/>
    <w:rsid w:val="00351F5E"/>
    <w:rsid w:val="00352636"/>
    <w:rsid w:val="00352B1A"/>
    <w:rsid w:val="003534EF"/>
    <w:rsid w:val="00354C20"/>
    <w:rsid w:val="00354DFF"/>
    <w:rsid w:val="00355010"/>
    <w:rsid w:val="00355FC0"/>
    <w:rsid w:val="003566D4"/>
    <w:rsid w:val="00356F49"/>
    <w:rsid w:val="00360ED7"/>
    <w:rsid w:val="00361E84"/>
    <w:rsid w:val="00362678"/>
    <w:rsid w:val="00363E84"/>
    <w:rsid w:val="00364033"/>
    <w:rsid w:val="00365880"/>
    <w:rsid w:val="00366BDC"/>
    <w:rsid w:val="00366F4D"/>
    <w:rsid w:val="003670A1"/>
    <w:rsid w:val="003670B5"/>
    <w:rsid w:val="00367AE4"/>
    <w:rsid w:val="003700B5"/>
    <w:rsid w:val="00370401"/>
    <w:rsid w:val="00370F4F"/>
    <w:rsid w:val="0037215E"/>
    <w:rsid w:val="00372411"/>
    <w:rsid w:val="00373119"/>
    <w:rsid w:val="003732FB"/>
    <w:rsid w:val="00373420"/>
    <w:rsid w:val="003736B9"/>
    <w:rsid w:val="00374110"/>
    <w:rsid w:val="00374457"/>
    <w:rsid w:val="00374B37"/>
    <w:rsid w:val="00374F5A"/>
    <w:rsid w:val="00376D89"/>
    <w:rsid w:val="00377082"/>
    <w:rsid w:val="00377463"/>
    <w:rsid w:val="00377738"/>
    <w:rsid w:val="00377E66"/>
    <w:rsid w:val="00377FD8"/>
    <w:rsid w:val="00380812"/>
    <w:rsid w:val="00380C72"/>
    <w:rsid w:val="00381052"/>
    <w:rsid w:val="00383296"/>
    <w:rsid w:val="00383754"/>
    <w:rsid w:val="00383865"/>
    <w:rsid w:val="00384DBE"/>
    <w:rsid w:val="00385E36"/>
    <w:rsid w:val="003866A7"/>
    <w:rsid w:val="003869C0"/>
    <w:rsid w:val="00387912"/>
    <w:rsid w:val="00387AB4"/>
    <w:rsid w:val="00390C80"/>
    <w:rsid w:val="00391CE7"/>
    <w:rsid w:val="00391D08"/>
    <w:rsid w:val="003924F5"/>
    <w:rsid w:val="00392707"/>
    <w:rsid w:val="00392F61"/>
    <w:rsid w:val="00393016"/>
    <w:rsid w:val="00393201"/>
    <w:rsid w:val="003934B1"/>
    <w:rsid w:val="00393735"/>
    <w:rsid w:val="00393E2A"/>
    <w:rsid w:val="00394B8F"/>
    <w:rsid w:val="0039525A"/>
    <w:rsid w:val="003953EA"/>
    <w:rsid w:val="0039640F"/>
    <w:rsid w:val="003A00FE"/>
    <w:rsid w:val="003A11BF"/>
    <w:rsid w:val="003A11DB"/>
    <w:rsid w:val="003A1476"/>
    <w:rsid w:val="003A1C04"/>
    <w:rsid w:val="003A1D7D"/>
    <w:rsid w:val="003A2129"/>
    <w:rsid w:val="003A2CCC"/>
    <w:rsid w:val="003A3DA1"/>
    <w:rsid w:val="003A3DF0"/>
    <w:rsid w:val="003A4438"/>
    <w:rsid w:val="003A4618"/>
    <w:rsid w:val="003A51D5"/>
    <w:rsid w:val="003A5DCD"/>
    <w:rsid w:val="003A6168"/>
    <w:rsid w:val="003A6D8D"/>
    <w:rsid w:val="003A72C6"/>
    <w:rsid w:val="003A7721"/>
    <w:rsid w:val="003A7898"/>
    <w:rsid w:val="003B0C33"/>
    <w:rsid w:val="003B1361"/>
    <w:rsid w:val="003B29B2"/>
    <w:rsid w:val="003B2AE9"/>
    <w:rsid w:val="003B3CA4"/>
    <w:rsid w:val="003B3CE5"/>
    <w:rsid w:val="003B4254"/>
    <w:rsid w:val="003B61C1"/>
    <w:rsid w:val="003B6206"/>
    <w:rsid w:val="003B6583"/>
    <w:rsid w:val="003B6DFA"/>
    <w:rsid w:val="003B769E"/>
    <w:rsid w:val="003C00A0"/>
    <w:rsid w:val="003C167D"/>
    <w:rsid w:val="003C268B"/>
    <w:rsid w:val="003C372C"/>
    <w:rsid w:val="003C3864"/>
    <w:rsid w:val="003C38FB"/>
    <w:rsid w:val="003C3C06"/>
    <w:rsid w:val="003C3E96"/>
    <w:rsid w:val="003C4132"/>
    <w:rsid w:val="003C45A3"/>
    <w:rsid w:val="003C4CCF"/>
    <w:rsid w:val="003C51C0"/>
    <w:rsid w:val="003C55F6"/>
    <w:rsid w:val="003C5E6C"/>
    <w:rsid w:val="003C7025"/>
    <w:rsid w:val="003C71FF"/>
    <w:rsid w:val="003C72DF"/>
    <w:rsid w:val="003C7ACC"/>
    <w:rsid w:val="003C7BCD"/>
    <w:rsid w:val="003C7EB4"/>
    <w:rsid w:val="003D018D"/>
    <w:rsid w:val="003D294D"/>
    <w:rsid w:val="003D2E94"/>
    <w:rsid w:val="003D32B2"/>
    <w:rsid w:val="003D34BA"/>
    <w:rsid w:val="003D39E3"/>
    <w:rsid w:val="003D3CC1"/>
    <w:rsid w:val="003D3F73"/>
    <w:rsid w:val="003D43E8"/>
    <w:rsid w:val="003D468D"/>
    <w:rsid w:val="003D4973"/>
    <w:rsid w:val="003D4E22"/>
    <w:rsid w:val="003D5546"/>
    <w:rsid w:val="003D5946"/>
    <w:rsid w:val="003D59BF"/>
    <w:rsid w:val="003D6B6C"/>
    <w:rsid w:val="003D718F"/>
    <w:rsid w:val="003E05D7"/>
    <w:rsid w:val="003E0CC9"/>
    <w:rsid w:val="003E1831"/>
    <w:rsid w:val="003E1ED7"/>
    <w:rsid w:val="003E20EB"/>
    <w:rsid w:val="003E2E09"/>
    <w:rsid w:val="003E3D00"/>
    <w:rsid w:val="003E41D3"/>
    <w:rsid w:val="003E47E4"/>
    <w:rsid w:val="003E6682"/>
    <w:rsid w:val="003E672D"/>
    <w:rsid w:val="003E6F84"/>
    <w:rsid w:val="003E71EB"/>
    <w:rsid w:val="003E7F0E"/>
    <w:rsid w:val="003F0D3B"/>
    <w:rsid w:val="003F103D"/>
    <w:rsid w:val="003F1878"/>
    <w:rsid w:val="003F19D2"/>
    <w:rsid w:val="003F1D7D"/>
    <w:rsid w:val="003F206E"/>
    <w:rsid w:val="003F31C0"/>
    <w:rsid w:val="003F3773"/>
    <w:rsid w:val="003F4EBD"/>
    <w:rsid w:val="003F5702"/>
    <w:rsid w:val="003F5AF7"/>
    <w:rsid w:val="003F6974"/>
    <w:rsid w:val="003F73F7"/>
    <w:rsid w:val="003F7591"/>
    <w:rsid w:val="003F79BB"/>
    <w:rsid w:val="003F7A71"/>
    <w:rsid w:val="004007C2"/>
    <w:rsid w:val="004009A9"/>
    <w:rsid w:val="00400CBC"/>
    <w:rsid w:val="0040217D"/>
    <w:rsid w:val="004021AE"/>
    <w:rsid w:val="004024E1"/>
    <w:rsid w:val="00402937"/>
    <w:rsid w:val="004029B8"/>
    <w:rsid w:val="00402E2A"/>
    <w:rsid w:val="00402F5F"/>
    <w:rsid w:val="004033C9"/>
    <w:rsid w:val="00405C1A"/>
    <w:rsid w:val="00406271"/>
    <w:rsid w:val="0040662E"/>
    <w:rsid w:val="0040666F"/>
    <w:rsid w:val="004077E3"/>
    <w:rsid w:val="00407BBE"/>
    <w:rsid w:val="004117EE"/>
    <w:rsid w:val="004119D9"/>
    <w:rsid w:val="00411E50"/>
    <w:rsid w:val="0041311D"/>
    <w:rsid w:val="0041419E"/>
    <w:rsid w:val="004148E3"/>
    <w:rsid w:val="00414A28"/>
    <w:rsid w:val="00414DB0"/>
    <w:rsid w:val="00416038"/>
    <w:rsid w:val="00416257"/>
    <w:rsid w:val="00416890"/>
    <w:rsid w:val="0041780B"/>
    <w:rsid w:val="004178F0"/>
    <w:rsid w:val="004204F1"/>
    <w:rsid w:val="00420B4D"/>
    <w:rsid w:val="00420B78"/>
    <w:rsid w:val="00420CFB"/>
    <w:rsid w:val="00420D1B"/>
    <w:rsid w:val="004213BE"/>
    <w:rsid w:val="004215A0"/>
    <w:rsid w:val="00422665"/>
    <w:rsid w:val="004228FD"/>
    <w:rsid w:val="0042294A"/>
    <w:rsid w:val="00422E40"/>
    <w:rsid w:val="00423998"/>
    <w:rsid w:val="00423DBA"/>
    <w:rsid w:val="00424F64"/>
    <w:rsid w:val="00424FBD"/>
    <w:rsid w:val="004254EA"/>
    <w:rsid w:val="004258A5"/>
    <w:rsid w:val="00425ADC"/>
    <w:rsid w:val="00425B24"/>
    <w:rsid w:val="00425EE1"/>
    <w:rsid w:val="00426F98"/>
    <w:rsid w:val="004271A8"/>
    <w:rsid w:val="00427969"/>
    <w:rsid w:val="00427E9F"/>
    <w:rsid w:val="00430381"/>
    <w:rsid w:val="0043055A"/>
    <w:rsid w:val="00430734"/>
    <w:rsid w:val="0043128C"/>
    <w:rsid w:val="00431E2C"/>
    <w:rsid w:val="00432610"/>
    <w:rsid w:val="0043345D"/>
    <w:rsid w:val="004340CA"/>
    <w:rsid w:val="0043438D"/>
    <w:rsid w:val="00434C6E"/>
    <w:rsid w:val="00434FDD"/>
    <w:rsid w:val="0043767A"/>
    <w:rsid w:val="00440378"/>
    <w:rsid w:val="004408EF"/>
    <w:rsid w:val="00440A3B"/>
    <w:rsid w:val="00440F1C"/>
    <w:rsid w:val="00441AD4"/>
    <w:rsid w:val="00443773"/>
    <w:rsid w:val="00443DBB"/>
    <w:rsid w:val="004444C8"/>
    <w:rsid w:val="00445806"/>
    <w:rsid w:val="004470B7"/>
    <w:rsid w:val="004472F5"/>
    <w:rsid w:val="004478EB"/>
    <w:rsid w:val="004479E9"/>
    <w:rsid w:val="00447F8E"/>
    <w:rsid w:val="004502C2"/>
    <w:rsid w:val="0045032A"/>
    <w:rsid w:val="00450815"/>
    <w:rsid w:val="0045180D"/>
    <w:rsid w:val="00452DA2"/>
    <w:rsid w:val="00453116"/>
    <w:rsid w:val="00453378"/>
    <w:rsid w:val="0045502F"/>
    <w:rsid w:val="004551C8"/>
    <w:rsid w:val="00455712"/>
    <w:rsid w:val="004562FE"/>
    <w:rsid w:val="00456852"/>
    <w:rsid w:val="00456C9E"/>
    <w:rsid w:val="00456DD5"/>
    <w:rsid w:val="00456E39"/>
    <w:rsid w:val="004571D5"/>
    <w:rsid w:val="004577F4"/>
    <w:rsid w:val="0046008E"/>
    <w:rsid w:val="00460346"/>
    <w:rsid w:val="004604B0"/>
    <w:rsid w:val="00460672"/>
    <w:rsid w:val="004612CE"/>
    <w:rsid w:val="004614A5"/>
    <w:rsid w:val="004615BC"/>
    <w:rsid w:val="00461739"/>
    <w:rsid w:val="00461A77"/>
    <w:rsid w:val="00462B58"/>
    <w:rsid w:val="00462BF2"/>
    <w:rsid w:val="00462F00"/>
    <w:rsid w:val="00463A6E"/>
    <w:rsid w:val="00464F21"/>
    <w:rsid w:val="0046537C"/>
    <w:rsid w:val="00465CB6"/>
    <w:rsid w:val="00466212"/>
    <w:rsid w:val="0046688C"/>
    <w:rsid w:val="0046705F"/>
    <w:rsid w:val="00467149"/>
    <w:rsid w:val="0046715F"/>
    <w:rsid w:val="00470DE8"/>
    <w:rsid w:val="00471777"/>
    <w:rsid w:val="00471E54"/>
    <w:rsid w:val="00471F96"/>
    <w:rsid w:val="00472361"/>
    <w:rsid w:val="00472D77"/>
    <w:rsid w:val="00476B52"/>
    <w:rsid w:val="00476FFC"/>
    <w:rsid w:val="00477421"/>
    <w:rsid w:val="00477575"/>
    <w:rsid w:val="00477BB2"/>
    <w:rsid w:val="004802BD"/>
    <w:rsid w:val="00480420"/>
    <w:rsid w:val="004805DC"/>
    <w:rsid w:val="00480AFF"/>
    <w:rsid w:val="0048139F"/>
    <w:rsid w:val="004819A1"/>
    <w:rsid w:val="004820A4"/>
    <w:rsid w:val="00482614"/>
    <w:rsid w:val="0048288D"/>
    <w:rsid w:val="004835FE"/>
    <w:rsid w:val="004837C7"/>
    <w:rsid w:val="004841AF"/>
    <w:rsid w:val="0048486D"/>
    <w:rsid w:val="00484E8E"/>
    <w:rsid w:val="00485699"/>
    <w:rsid w:val="00486655"/>
    <w:rsid w:val="00486ADE"/>
    <w:rsid w:val="00487C52"/>
    <w:rsid w:val="004902C2"/>
    <w:rsid w:val="00490314"/>
    <w:rsid w:val="004907F1"/>
    <w:rsid w:val="00490C75"/>
    <w:rsid w:val="00490DB0"/>
    <w:rsid w:val="00491744"/>
    <w:rsid w:val="00493A01"/>
    <w:rsid w:val="004942B4"/>
    <w:rsid w:val="00494A72"/>
    <w:rsid w:val="004955EC"/>
    <w:rsid w:val="00495BDD"/>
    <w:rsid w:val="00495EEB"/>
    <w:rsid w:val="00497B10"/>
    <w:rsid w:val="004A0ACE"/>
    <w:rsid w:val="004A0BE7"/>
    <w:rsid w:val="004A12A5"/>
    <w:rsid w:val="004A1F18"/>
    <w:rsid w:val="004A2148"/>
    <w:rsid w:val="004A215A"/>
    <w:rsid w:val="004A219F"/>
    <w:rsid w:val="004A21B2"/>
    <w:rsid w:val="004A29F0"/>
    <w:rsid w:val="004A2D26"/>
    <w:rsid w:val="004A3364"/>
    <w:rsid w:val="004A4762"/>
    <w:rsid w:val="004A4C2D"/>
    <w:rsid w:val="004A4FDD"/>
    <w:rsid w:val="004A5277"/>
    <w:rsid w:val="004A783F"/>
    <w:rsid w:val="004B0074"/>
    <w:rsid w:val="004B13BC"/>
    <w:rsid w:val="004B1AB6"/>
    <w:rsid w:val="004B3D2E"/>
    <w:rsid w:val="004B3FB2"/>
    <w:rsid w:val="004B51FD"/>
    <w:rsid w:val="004B5934"/>
    <w:rsid w:val="004B6500"/>
    <w:rsid w:val="004B7989"/>
    <w:rsid w:val="004C0042"/>
    <w:rsid w:val="004C0D46"/>
    <w:rsid w:val="004C1207"/>
    <w:rsid w:val="004C199F"/>
    <w:rsid w:val="004C1D68"/>
    <w:rsid w:val="004C2389"/>
    <w:rsid w:val="004C355D"/>
    <w:rsid w:val="004C4254"/>
    <w:rsid w:val="004C497B"/>
    <w:rsid w:val="004C4CBF"/>
    <w:rsid w:val="004C5729"/>
    <w:rsid w:val="004C608E"/>
    <w:rsid w:val="004C64AF"/>
    <w:rsid w:val="004C7B9D"/>
    <w:rsid w:val="004C7F20"/>
    <w:rsid w:val="004D01F7"/>
    <w:rsid w:val="004D05DC"/>
    <w:rsid w:val="004D09A4"/>
    <w:rsid w:val="004D1027"/>
    <w:rsid w:val="004D18D8"/>
    <w:rsid w:val="004D1D3D"/>
    <w:rsid w:val="004D37CD"/>
    <w:rsid w:val="004D3CD5"/>
    <w:rsid w:val="004D4310"/>
    <w:rsid w:val="004D4F3D"/>
    <w:rsid w:val="004D6349"/>
    <w:rsid w:val="004D639E"/>
    <w:rsid w:val="004D698B"/>
    <w:rsid w:val="004D70A9"/>
    <w:rsid w:val="004E0BD9"/>
    <w:rsid w:val="004E0E1D"/>
    <w:rsid w:val="004E14CF"/>
    <w:rsid w:val="004E175E"/>
    <w:rsid w:val="004E1BA9"/>
    <w:rsid w:val="004E254C"/>
    <w:rsid w:val="004E318F"/>
    <w:rsid w:val="004E32C6"/>
    <w:rsid w:val="004E3990"/>
    <w:rsid w:val="004E3C3E"/>
    <w:rsid w:val="004E4123"/>
    <w:rsid w:val="004E4990"/>
    <w:rsid w:val="004E4A0E"/>
    <w:rsid w:val="004E4F44"/>
    <w:rsid w:val="004E58EB"/>
    <w:rsid w:val="004E5F87"/>
    <w:rsid w:val="004E612D"/>
    <w:rsid w:val="004F3649"/>
    <w:rsid w:val="004F3950"/>
    <w:rsid w:val="004F4200"/>
    <w:rsid w:val="004F505D"/>
    <w:rsid w:val="004F50EB"/>
    <w:rsid w:val="004F5324"/>
    <w:rsid w:val="004F64EE"/>
    <w:rsid w:val="004F7984"/>
    <w:rsid w:val="004F79FA"/>
    <w:rsid w:val="0050007B"/>
    <w:rsid w:val="00500219"/>
    <w:rsid w:val="00500364"/>
    <w:rsid w:val="00500454"/>
    <w:rsid w:val="00500E2C"/>
    <w:rsid w:val="00501306"/>
    <w:rsid w:val="00501686"/>
    <w:rsid w:val="00502476"/>
    <w:rsid w:val="00502BBA"/>
    <w:rsid w:val="00502C1C"/>
    <w:rsid w:val="0050315F"/>
    <w:rsid w:val="005037D3"/>
    <w:rsid w:val="0050398F"/>
    <w:rsid w:val="00503DEC"/>
    <w:rsid w:val="00504192"/>
    <w:rsid w:val="005042F9"/>
    <w:rsid w:val="00504602"/>
    <w:rsid w:val="0050557F"/>
    <w:rsid w:val="00505C00"/>
    <w:rsid w:val="00506B55"/>
    <w:rsid w:val="0051007D"/>
    <w:rsid w:val="00510260"/>
    <w:rsid w:val="005115B6"/>
    <w:rsid w:val="00511C24"/>
    <w:rsid w:val="0051208F"/>
    <w:rsid w:val="00513008"/>
    <w:rsid w:val="0051338F"/>
    <w:rsid w:val="005137C1"/>
    <w:rsid w:val="00513C31"/>
    <w:rsid w:val="00513D32"/>
    <w:rsid w:val="00514820"/>
    <w:rsid w:val="00515418"/>
    <w:rsid w:val="00515B10"/>
    <w:rsid w:val="00515D88"/>
    <w:rsid w:val="005162E4"/>
    <w:rsid w:val="0051637C"/>
    <w:rsid w:val="00516616"/>
    <w:rsid w:val="00516844"/>
    <w:rsid w:val="00516D71"/>
    <w:rsid w:val="0051703A"/>
    <w:rsid w:val="00520A1F"/>
    <w:rsid w:val="00520E03"/>
    <w:rsid w:val="00524CCC"/>
    <w:rsid w:val="00524F67"/>
    <w:rsid w:val="00526CAC"/>
    <w:rsid w:val="00527A82"/>
    <w:rsid w:val="00530092"/>
    <w:rsid w:val="005305C8"/>
    <w:rsid w:val="00530C1F"/>
    <w:rsid w:val="0053147F"/>
    <w:rsid w:val="00531B62"/>
    <w:rsid w:val="00533127"/>
    <w:rsid w:val="0053356A"/>
    <w:rsid w:val="005337F8"/>
    <w:rsid w:val="0053415F"/>
    <w:rsid w:val="00534CFE"/>
    <w:rsid w:val="00535B49"/>
    <w:rsid w:val="00535C10"/>
    <w:rsid w:val="00537EDF"/>
    <w:rsid w:val="00541F39"/>
    <w:rsid w:val="005433C5"/>
    <w:rsid w:val="005436AA"/>
    <w:rsid w:val="0054415C"/>
    <w:rsid w:val="00544526"/>
    <w:rsid w:val="005448A4"/>
    <w:rsid w:val="00544EC3"/>
    <w:rsid w:val="0054547F"/>
    <w:rsid w:val="00546217"/>
    <w:rsid w:val="0054736C"/>
    <w:rsid w:val="0055098E"/>
    <w:rsid w:val="00550F96"/>
    <w:rsid w:val="005515C9"/>
    <w:rsid w:val="00551ABA"/>
    <w:rsid w:val="00551B2E"/>
    <w:rsid w:val="00552937"/>
    <w:rsid w:val="00553233"/>
    <w:rsid w:val="00555E85"/>
    <w:rsid w:val="00556002"/>
    <w:rsid w:val="00556004"/>
    <w:rsid w:val="00556B98"/>
    <w:rsid w:val="0055733E"/>
    <w:rsid w:val="0055736D"/>
    <w:rsid w:val="0055766A"/>
    <w:rsid w:val="005603EE"/>
    <w:rsid w:val="00560AA5"/>
    <w:rsid w:val="00560C48"/>
    <w:rsid w:val="005613FC"/>
    <w:rsid w:val="0056189A"/>
    <w:rsid w:val="00561CFD"/>
    <w:rsid w:val="005620CF"/>
    <w:rsid w:val="005622D3"/>
    <w:rsid w:val="00562A00"/>
    <w:rsid w:val="005637FC"/>
    <w:rsid w:val="00564AD2"/>
    <w:rsid w:val="0056518F"/>
    <w:rsid w:val="005678F1"/>
    <w:rsid w:val="00570001"/>
    <w:rsid w:val="005718C1"/>
    <w:rsid w:val="005724A6"/>
    <w:rsid w:val="005729F5"/>
    <w:rsid w:val="00572B00"/>
    <w:rsid w:val="00572F20"/>
    <w:rsid w:val="00573B37"/>
    <w:rsid w:val="00573B3C"/>
    <w:rsid w:val="00573BB8"/>
    <w:rsid w:val="0057486A"/>
    <w:rsid w:val="00574A64"/>
    <w:rsid w:val="00574B5F"/>
    <w:rsid w:val="00574CF2"/>
    <w:rsid w:val="00575228"/>
    <w:rsid w:val="005763BC"/>
    <w:rsid w:val="00576D63"/>
    <w:rsid w:val="005771F3"/>
    <w:rsid w:val="00577263"/>
    <w:rsid w:val="005776AD"/>
    <w:rsid w:val="00577921"/>
    <w:rsid w:val="00577A0B"/>
    <w:rsid w:val="00580323"/>
    <w:rsid w:val="00580C88"/>
    <w:rsid w:val="005811FE"/>
    <w:rsid w:val="00581E86"/>
    <w:rsid w:val="00582D62"/>
    <w:rsid w:val="005833FD"/>
    <w:rsid w:val="0058350A"/>
    <w:rsid w:val="00584689"/>
    <w:rsid w:val="00584D2D"/>
    <w:rsid w:val="00584DDA"/>
    <w:rsid w:val="0058504C"/>
    <w:rsid w:val="00586A70"/>
    <w:rsid w:val="00587173"/>
    <w:rsid w:val="0058795B"/>
    <w:rsid w:val="00592842"/>
    <w:rsid w:val="005936BA"/>
    <w:rsid w:val="005938BC"/>
    <w:rsid w:val="00594131"/>
    <w:rsid w:val="005946AE"/>
    <w:rsid w:val="005949F3"/>
    <w:rsid w:val="00595667"/>
    <w:rsid w:val="00596202"/>
    <w:rsid w:val="00596642"/>
    <w:rsid w:val="00596866"/>
    <w:rsid w:val="00596B99"/>
    <w:rsid w:val="00596C1D"/>
    <w:rsid w:val="005976EE"/>
    <w:rsid w:val="00597F6B"/>
    <w:rsid w:val="005A083F"/>
    <w:rsid w:val="005A1094"/>
    <w:rsid w:val="005A26E5"/>
    <w:rsid w:val="005A2D96"/>
    <w:rsid w:val="005A4285"/>
    <w:rsid w:val="005A4588"/>
    <w:rsid w:val="005A4D34"/>
    <w:rsid w:val="005A4EF8"/>
    <w:rsid w:val="005A613A"/>
    <w:rsid w:val="005A658F"/>
    <w:rsid w:val="005A75AA"/>
    <w:rsid w:val="005B1340"/>
    <w:rsid w:val="005B15AA"/>
    <w:rsid w:val="005B17AE"/>
    <w:rsid w:val="005B1F06"/>
    <w:rsid w:val="005B208E"/>
    <w:rsid w:val="005B2DE5"/>
    <w:rsid w:val="005B430F"/>
    <w:rsid w:val="005B4932"/>
    <w:rsid w:val="005B5FB5"/>
    <w:rsid w:val="005B60CC"/>
    <w:rsid w:val="005B7C93"/>
    <w:rsid w:val="005B7CF5"/>
    <w:rsid w:val="005C001E"/>
    <w:rsid w:val="005C0A25"/>
    <w:rsid w:val="005C18FB"/>
    <w:rsid w:val="005C1EE0"/>
    <w:rsid w:val="005C29C6"/>
    <w:rsid w:val="005C2BAC"/>
    <w:rsid w:val="005C372E"/>
    <w:rsid w:val="005C3A02"/>
    <w:rsid w:val="005C4087"/>
    <w:rsid w:val="005C4C44"/>
    <w:rsid w:val="005C5D77"/>
    <w:rsid w:val="005C64F0"/>
    <w:rsid w:val="005C7723"/>
    <w:rsid w:val="005C78EB"/>
    <w:rsid w:val="005C7B8F"/>
    <w:rsid w:val="005D09C8"/>
    <w:rsid w:val="005D0DC4"/>
    <w:rsid w:val="005D1701"/>
    <w:rsid w:val="005D221A"/>
    <w:rsid w:val="005D2885"/>
    <w:rsid w:val="005D2997"/>
    <w:rsid w:val="005D2AD6"/>
    <w:rsid w:val="005D2F74"/>
    <w:rsid w:val="005D3EA3"/>
    <w:rsid w:val="005D3FB0"/>
    <w:rsid w:val="005D4737"/>
    <w:rsid w:val="005D50BC"/>
    <w:rsid w:val="005D54AA"/>
    <w:rsid w:val="005D67CA"/>
    <w:rsid w:val="005D7B45"/>
    <w:rsid w:val="005D7B73"/>
    <w:rsid w:val="005E0BCF"/>
    <w:rsid w:val="005E15DA"/>
    <w:rsid w:val="005E18E9"/>
    <w:rsid w:val="005E1FE2"/>
    <w:rsid w:val="005E244C"/>
    <w:rsid w:val="005E36BC"/>
    <w:rsid w:val="005E379E"/>
    <w:rsid w:val="005E3C8A"/>
    <w:rsid w:val="005E4A89"/>
    <w:rsid w:val="005E58A3"/>
    <w:rsid w:val="005E58DA"/>
    <w:rsid w:val="005E760C"/>
    <w:rsid w:val="005E7F70"/>
    <w:rsid w:val="005F0BA3"/>
    <w:rsid w:val="005F0F66"/>
    <w:rsid w:val="005F1CA7"/>
    <w:rsid w:val="005F2176"/>
    <w:rsid w:val="005F29CF"/>
    <w:rsid w:val="005F2CAE"/>
    <w:rsid w:val="005F2F2F"/>
    <w:rsid w:val="005F317A"/>
    <w:rsid w:val="005F33BE"/>
    <w:rsid w:val="005F3CC9"/>
    <w:rsid w:val="005F5682"/>
    <w:rsid w:val="005F5837"/>
    <w:rsid w:val="005F5A56"/>
    <w:rsid w:val="005F5AD4"/>
    <w:rsid w:val="005F6210"/>
    <w:rsid w:val="005F6C45"/>
    <w:rsid w:val="005F6D70"/>
    <w:rsid w:val="005F6EFA"/>
    <w:rsid w:val="005F7236"/>
    <w:rsid w:val="005F7698"/>
    <w:rsid w:val="005F7FAC"/>
    <w:rsid w:val="00602720"/>
    <w:rsid w:val="00603B38"/>
    <w:rsid w:val="00603DDC"/>
    <w:rsid w:val="00604731"/>
    <w:rsid w:val="0060525D"/>
    <w:rsid w:val="006072BE"/>
    <w:rsid w:val="00607847"/>
    <w:rsid w:val="00607ACF"/>
    <w:rsid w:val="006111B7"/>
    <w:rsid w:val="00611C52"/>
    <w:rsid w:val="00612899"/>
    <w:rsid w:val="00612EF7"/>
    <w:rsid w:val="00613F36"/>
    <w:rsid w:val="006141EB"/>
    <w:rsid w:val="006142FD"/>
    <w:rsid w:val="0061694B"/>
    <w:rsid w:val="00617159"/>
    <w:rsid w:val="00617C7F"/>
    <w:rsid w:val="006233EE"/>
    <w:rsid w:val="00623F63"/>
    <w:rsid w:val="0062459C"/>
    <w:rsid w:val="00625072"/>
    <w:rsid w:val="0062517D"/>
    <w:rsid w:val="00625868"/>
    <w:rsid w:val="006274DD"/>
    <w:rsid w:val="00631A79"/>
    <w:rsid w:val="006324B7"/>
    <w:rsid w:val="00633600"/>
    <w:rsid w:val="00633B94"/>
    <w:rsid w:val="00633BB6"/>
    <w:rsid w:val="00633D0D"/>
    <w:rsid w:val="00634779"/>
    <w:rsid w:val="00634C89"/>
    <w:rsid w:val="006358B1"/>
    <w:rsid w:val="00635E62"/>
    <w:rsid w:val="00637479"/>
    <w:rsid w:val="00637B45"/>
    <w:rsid w:val="00637F0E"/>
    <w:rsid w:val="00640324"/>
    <w:rsid w:val="00640611"/>
    <w:rsid w:val="00640E70"/>
    <w:rsid w:val="00641448"/>
    <w:rsid w:val="006415FE"/>
    <w:rsid w:val="00641F76"/>
    <w:rsid w:val="00643703"/>
    <w:rsid w:val="006438E3"/>
    <w:rsid w:val="006443B7"/>
    <w:rsid w:val="00645E32"/>
    <w:rsid w:val="006462FD"/>
    <w:rsid w:val="0064728D"/>
    <w:rsid w:val="006473CD"/>
    <w:rsid w:val="0064790B"/>
    <w:rsid w:val="00647B21"/>
    <w:rsid w:val="0065030D"/>
    <w:rsid w:val="00650501"/>
    <w:rsid w:val="00650B37"/>
    <w:rsid w:val="00651B9A"/>
    <w:rsid w:val="0065244F"/>
    <w:rsid w:val="00652911"/>
    <w:rsid w:val="006530E3"/>
    <w:rsid w:val="00653388"/>
    <w:rsid w:val="006533B7"/>
    <w:rsid w:val="0065361E"/>
    <w:rsid w:val="00654839"/>
    <w:rsid w:val="00654EDB"/>
    <w:rsid w:val="0065503B"/>
    <w:rsid w:val="00655548"/>
    <w:rsid w:val="0065574A"/>
    <w:rsid w:val="0065600A"/>
    <w:rsid w:val="0065634D"/>
    <w:rsid w:val="00656964"/>
    <w:rsid w:val="00657079"/>
    <w:rsid w:val="006570C1"/>
    <w:rsid w:val="006576D1"/>
    <w:rsid w:val="006612BB"/>
    <w:rsid w:val="006626D6"/>
    <w:rsid w:val="00663890"/>
    <w:rsid w:val="00663FC2"/>
    <w:rsid w:val="00664AE8"/>
    <w:rsid w:val="00664FFA"/>
    <w:rsid w:val="0066666C"/>
    <w:rsid w:val="006670B7"/>
    <w:rsid w:val="006670C7"/>
    <w:rsid w:val="006713AB"/>
    <w:rsid w:val="00671461"/>
    <w:rsid w:val="006723C8"/>
    <w:rsid w:val="0067366C"/>
    <w:rsid w:val="00673D8C"/>
    <w:rsid w:val="00674853"/>
    <w:rsid w:val="00675896"/>
    <w:rsid w:val="00675DBE"/>
    <w:rsid w:val="006767FB"/>
    <w:rsid w:val="00676BA7"/>
    <w:rsid w:val="00677468"/>
    <w:rsid w:val="00677C07"/>
    <w:rsid w:val="00680654"/>
    <w:rsid w:val="0068080F"/>
    <w:rsid w:val="00681D82"/>
    <w:rsid w:val="00682CBB"/>
    <w:rsid w:val="00682EDF"/>
    <w:rsid w:val="0068320A"/>
    <w:rsid w:val="00684083"/>
    <w:rsid w:val="0068470D"/>
    <w:rsid w:val="006849B1"/>
    <w:rsid w:val="00685330"/>
    <w:rsid w:val="006853F6"/>
    <w:rsid w:val="0068651D"/>
    <w:rsid w:val="00686E42"/>
    <w:rsid w:val="00690B65"/>
    <w:rsid w:val="00690D3C"/>
    <w:rsid w:val="00690FA8"/>
    <w:rsid w:val="00691024"/>
    <w:rsid w:val="00691511"/>
    <w:rsid w:val="00691CFF"/>
    <w:rsid w:val="00691F49"/>
    <w:rsid w:val="006922AD"/>
    <w:rsid w:val="00692872"/>
    <w:rsid w:val="00692A48"/>
    <w:rsid w:val="00692BB3"/>
    <w:rsid w:val="00693017"/>
    <w:rsid w:val="006934F9"/>
    <w:rsid w:val="00693E48"/>
    <w:rsid w:val="006944CE"/>
    <w:rsid w:val="00694BFB"/>
    <w:rsid w:val="006956F9"/>
    <w:rsid w:val="00696535"/>
    <w:rsid w:val="006968BA"/>
    <w:rsid w:val="0069697D"/>
    <w:rsid w:val="0069713C"/>
    <w:rsid w:val="0069742A"/>
    <w:rsid w:val="00697B33"/>
    <w:rsid w:val="00697D91"/>
    <w:rsid w:val="006A1B81"/>
    <w:rsid w:val="006A1DE5"/>
    <w:rsid w:val="006A2CF3"/>
    <w:rsid w:val="006A4DE6"/>
    <w:rsid w:val="006A5077"/>
    <w:rsid w:val="006A6B60"/>
    <w:rsid w:val="006A6BFC"/>
    <w:rsid w:val="006A6F87"/>
    <w:rsid w:val="006A7407"/>
    <w:rsid w:val="006B0F9B"/>
    <w:rsid w:val="006B2E9A"/>
    <w:rsid w:val="006B39FF"/>
    <w:rsid w:val="006B5A67"/>
    <w:rsid w:val="006B5D75"/>
    <w:rsid w:val="006B5E9B"/>
    <w:rsid w:val="006B5EE8"/>
    <w:rsid w:val="006B63B6"/>
    <w:rsid w:val="006B6B5A"/>
    <w:rsid w:val="006B7023"/>
    <w:rsid w:val="006B71F8"/>
    <w:rsid w:val="006B7912"/>
    <w:rsid w:val="006C0060"/>
    <w:rsid w:val="006C0A59"/>
    <w:rsid w:val="006C31BC"/>
    <w:rsid w:val="006C415B"/>
    <w:rsid w:val="006C424D"/>
    <w:rsid w:val="006C512F"/>
    <w:rsid w:val="006C56A4"/>
    <w:rsid w:val="006C5AB8"/>
    <w:rsid w:val="006C6398"/>
    <w:rsid w:val="006C6ACC"/>
    <w:rsid w:val="006C6FB8"/>
    <w:rsid w:val="006C78AA"/>
    <w:rsid w:val="006D056B"/>
    <w:rsid w:val="006D165D"/>
    <w:rsid w:val="006D1C19"/>
    <w:rsid w:val="006D1D20"/>
    <w:rsid w:val="006D2904"/>
    <w:rsid w:val="006D2C47"/>
    <w:rsid w:val="006D3FAD"/>
    <w:rsid w:val="006D411B"/>
    <w:rsid w:val="006D57B9"/>
    <w:rsid w:val="006D5962"/>
    <w:rsid w:val="006D5FBF"/>
    <w:rsid w:val="006D609B"/>
    <w:rsid w:val="006D6264"/>
    <w:rsid w:val="006E0175"/>
    <w:rsid w:val="006E0B57"/>
    <w:rsid w:val="006E1074"/>
    <w:rsid w:val="006E1158"/>
    <w:rsid w:val="006E1202"/>
    <w:rsid w:val="006E125B"/>
    <w:rsid w:val="006E25A6"/>
    <w:rsid w:val="006E2BEE"/>
    <w:rsid w:val="006E2C33"/>
    <w:rsid w:val="006E3D03"/>
    <w:rsid w:val="006E3D28"/>
    <w:rsid w:val="006E419B"/>
    <w:rsid w:val="006E4975"/>
    <w:rsid w:val="006E4A27"/>
    <w:rsid w:val="006E4BC4"/>
    <w:rsid w:val="006E5088"/>
    <w:rsid w:val="006E5664"/>
    <w:rsid w:val="006E68F2"/>
    <w:rsid w:val="006E72E4"/>
    <w:rsid w:val="006E75F9"/>
    <w:rsid w:val="006F0729"/>
    <w:rsid w:val="006F1147"/>
    <w:rsid w:val="006F1171"/>
    <w:rsid w:val="006F1B5A"/>
    <w:rsid w:val="006F1BC1"/>
    <w:rsid w:val="006F2801"/>
    <w:rsid w:val="006F58CF"/>
    <w:rsid w:val="006F5A30"/>
    <w:rsid w:val="006F5F23"/>
    <w:rsid w:val="006F6312"/>
    <w:rsid w:val="006F67E8"/>
    <w:rsid w:val="006F6CD6"/>
    <w:rsid w:val="006F7040"/>
    <w:rsid w:val="006F705A"/>
    <w:rsid w:val="006F78A3"/>
    <w:rsid w:val="007004CF"/>
    <w:rsid w:val="007006B6"/>
    <w:rsid w:val="007008BD"/>
    <w:rsid w:val="00700BD3"/>
    <w:rsid w:val="00700FBA"/>
    <w:rsid w:val="0070107F"/>
    <w:rsid w:val="007023B6"/>
    <w:rsid w:val="00702D31"/>
    <w:rsid w:val="0070500F"/>
    <w:rsid w:val="00705DC3"/>
    <w:rsid w:val="0070627D"/>
    <w:rsid w:val="00706A82"/>
    <w:rsid w:val="00706F39"/>
    <w:rsid w:val="00707A9A"/>
    <w:rsid w:val="00710884"/>
    <w:rsid w:val="00710AC2"/>
    <w:rsid w:val="0071201C"/>
    <w:rsid w:val="00712820"/>
    <w:rsid w:val="00712AC6"/>
    <w:rsid w:val="00712E71"/>
    <w:rsid w:val="00713F13"/>
    <w:rsid w:val="0071473D"/>
    <w:rsid w:val="00714C40"/>
    <w:rsid w:val="0071648F"/>
    <w:rsid w:val="00717B04"/>
    <w:rsid w:val="00717D26"/>
    <w:rsid w:val="00720436"/>
    <w:rsid w:val="00720736"/>
    <w:rsid w:val="00720BEA"/>
    <w:rsid w:val="00720D65"/>
    <w:rsid w:val="00722426"/>
    <w:rsid w:val="007248E5"/>
    <w:rsid w:val="00724A18"/>
    <w:rsid w:val="00724A19"/>
    <w:rsid w:val="00726561"/>
    <w:rsid w:val="007265DA"/>
    <w:rsid w:val="00727DF7"/>
    <w:rsid w:val="007304FF"/>
    <w:rsid w:val="00731B9A"/>
    <w:rsid w:val="00732078"/>
    <w:rsid w:val="00732415"/>
    <w:rsid w:val="007328FB"/>
    <w:rsid w:val="00732B5B"/>
    <w:rsid w:val="00732EED"/>
    <w:rsid w:val="007332B4"/>
    <w:rsid w:val="007348FA"/>
    <w:rsid w:val="00734B96"/>
    <w:rsid w:val="007359D4"/>
    <w:rsid w:val="007362A7"/>
    <w:rsid w:val="00736877"/>
    <w:rsid w:val="00737513"/>
    <w:rsid w:val="00740EA3"/>
    <w:rsid w:val="00740FB6"/>
    <w:rsid w:val="00741136"/>
    <w:rsid w:val="00741EB3"/>
    <w:rsid w:val="007421FE"/>
    <w:rsid w:val="0074274B"/>
    <w:rsid w:val="00743221"/>
    <w:rsid w:val="00743363"/>
    <w:rsid w:val="007439C3"/>
    <w:rsid w:val="00743F26"/>
    <w:rsid w:val="00745D0E"/>
    <w:rsid w:val="00746679"/>
    <w:rsid w:val="00747268"/>
    <w:rsid w:val="007477DD"/>
    <w:rsid w:val="00747EE7"/>
    <w:rsid w:val="007502F1"/>
    <w:rsid w:val="00750B51"/>
    <w:rsid w:val="007511AD"/>
    <w:rsid w:val="0075129C"/>
    <w:rsid w:val="00751BC7"/>
    <w:rsid w:val="007523CE"/>
    <w:rsid w:val="007528FE"/>
    <w:rsid w:val="0075309A"/>
    <w:rsid w:val="0075316F"/>
    <w:rsid w:val="007537C4"/>
    <w:rsid w:val="00753CA5"/>
    <w:rsid w:val="00753EB3"/>
    <w:rsid w:val="00754152"/>
    <w:rsid w:val="00755063"/>
    <w:rsid w:val="007550DD"/>
    <w:rsid w:val="007552AC"/>
    <w:rsid w:val="00755B43"/>
    <w:rsid w:val="00755C22"/>
    <w:rsid w:val="00756098"/>
    <w:rsid w:val="00761980"/>
    <w:rsid w:val="00762CD4"/>
    <w:rsid w:val="007636FC"/>
    <w:rsid w:val="00763DF6"/>
    <w:rsid w:val="007640C0"/>
    <w:rsid w:val="0076491B"/>
    <w:rsid w:val="00765176"/>
    <w:rsid w:val="00765647"/>
    <w:rsid w:val="00765695"/>
    <w:rsid w:val="00765BE8"/>
    <w:rsid w:val="007664D1"/>
    <w:rsid w:val="00766D99"/>
    <w:rsid w:val="00767197"/>
    <w:rsid w:val="00767287"/>
    <w:rsid w:val="00767F48"/>
    <w:rsid w:val="0077032D"/>
    <w:rsid w:val="007734A2"/>
    <w:rsid w:val="00774136"/>
    <w:rsid w:val="00775EE7"/>
    <w:rsid w:val="0077653B"/>
    <w:rsid w:val="007768C5"/>
    <w:rsid w:val="00780B76"/>
    <w:rsid w:val="00781449"/>
    <w:rsid w:val="007816FC"/>
    <w:rsid w:val="007817B2"/>
    <w:rsid w:val="00781C28"/>
    <w:rsid w:val="00781C8E"/>
    <w:rsid w:val="007822BC"/>
    <w:rsid w:val="00783146"/>
    <w:rsid w:val="007837B0"/>
    <w:rsid w:val="007841BD"/>
    <w:rsid w:val="00784526"/>
    <w:rsid w:val="007847F3"/>
    <w:rsid w:val="00784AAD"/>
    <w:rsid w:val="0078530D"/>
    <w:rsid w:val="00787282"/>
    <w:rsid w:val="00787A05"/>
    <w:rsid w:val="0079035C"/>
    <w:rsid w:val="00790B37"/>
    <w:rsid w:val="007911D1"/>
    <w:rsid w:val="00791506"/>
    <w:rsid w:val="00791B7F"/>
    <w:rsid w:val="0079253E"/>
    <w:rsid w:val="00792706"/>
    <w:rsid w:val="0079271A"/>
    <w:rsid w:val="00793595"/>
    <w:rsid w:val="00794117"/>
    <w:rsid w:val="007943C2"/>
    <w:rsid w:val="007949C9"/>
    <w:rsid w:val="00795334"/>
    <w:rsid w:val="00795C2F"/>
    <w:rsid w:val="00795D6F"/>
    <w:rsid w:val="00796711"/>
    <w:rsid w:val="00796AE8"/>
    <w:rsid w:val="00796AEC"/>
    <w:rsid w:val="00796D2D"/>
    <w:rsid w:val="00797C4D"/>
    <w:rsid w:val="007A0C12"/>
    <w:rsid w:val="007A0E49"/>
    <w:rsid w:val="007A2E5F"/>
    <w:rsid w:val="007A3164"/>
    <w:rsid w:val="007A390A"/>
    <w:rsid w:val="007A4252"/>
    <w:rsid w:val="007A6138"/>
    <w:rsid w:val="007A622E"/>
    <w:rsid w:val="007A647F"/>
    <w:rsid w:val="007A699F"/>
    <w:rsid w:val="007A6F37"/>
    <w:rsid w:val="007A7012"/>
    <w:rsid w:val="007A7521"/>
    <w:rsid w:val="007A77B4"/>
    <w:rsid w:val="007A785E"/>
    <w:rsid w:val="007B002B"/>
    <w:rsid w:val="007B02A8"/>
    <w:rsid w:val="007B043D"/>
    <w:rsid w:val="007B04AC"/>
    <w:rsid w:val="007B053E"/>
    <w:rsid w:val="007B13CC"/>
    <w:rsid w:val="007B13EC"/>
    <w:rsid w:val="007B18A3"/>
    <w:rsid w:val="007B18EC"/>
    <w:rsid w:val="007B1C56"/>
    <w:rsid w:val="007B1CD7"/>
    <w:rsid w:val="007B1D17"/>
    <w:rsid w:val="007B3ECB"/>
    <w:rsid w:val="007B58E8"/>
    <w:rsid w:val="007B697A"/>
    <w:rsid w:val="007B6D96"/>
    <w:rsid w:val="007B6E90"/>
    <w:rsid w:val="007B72A2"/>
    <w:rsid w:val="007B7DA4"/>
    <w:rsid w:val="007C0B37"/>
    <w:rsid w:val="007C0FA6"/>
    <w:rsid w:val="007C1220"/>
    <w:rsid w:val="007C15CA"/>
    <w:rsid w:val="007C3637"/>
    <w:rsid w:val="007C36C5"/>
    <w:rsid w:val="007C408C"/>
    <w:rsid w:val="007C47D8"/>
    <w:rsid w:val="007C5B54"/>
    <w:rsid w:val="007C5CD2"/>
    <w:rsid w:val="007C6947"/>
    <w:rsid w:val="007C6BF5"/>
    <w:rsid w:val="007C72D2"/>
    <w:rsid w:val="007C7768"/>
    <w:rsid w:val="007D07F1"/>
    <w:rsid w:val="007D0AFE"/>
    <w:rsid w:val="007D1693"/>
    <w:rsid w:val="007D17D3"/>
    <w:rsid w:val="007D338D"/>
    <w:rsid w:val="007D3614"/>
    <w:rsid w:val="007D3E57"/>
    <w:rsid w:val="007D4A98"/>
    <w:rsid w:val="007D51B3"/>
    <w:rsid w:val="007D5B4C"/>
    <w:rsid w:val="007D69B3"/>
    <w:rsid w:val="007D6BFB"/>
    <w:rsid w:val="007D7176"/>
    <w:rsid w:val="007D7F1C"/>
    <w:rsid w:val="007E0382"/>
    <w:rsid w:val="007E0750"/>
    <w:rsid w:val="007E0E04"/>
    <w:rsid w:val="007E143E"/>
    <w:rsid w:val="007E1607"/>
    <w:rsid w:val="007E1F47"/>
    <w:rsid w:val="007E38DD"/>
    <w:rsid w:val="007E443C"/>
    <w:rsid w:val="007E4C75"/>
    <w:rsid w:val="007E4D35"/>
    <w:rsid w:val="007E5360"/>
    <w:rsid w:val="007E55B4"/>
    <w:rsid w:val="007E5919"/>
    <w:rsid w:val="007E5B9D"/>
    <w:rsid w:val="007E6063"/>
    <w:rsid w:val="007E6EA8"/>
    <w:rsid w:val="007E715D"/>
    <w:rsid w:val="007E7455"/>
    <w:rsid w:val="007E760B"/>
    <w:rsid w:val="007E771E"/>
    <w:rsid w:val="007E7A41"/>
    <w:rsid w:val="007F0AF5"/>
    <w:rsid w:val="007F0BBB"/>
    <w:rsid w:val="007F0F02"/>
    <w:rsid w:val="007F257C"/>
    <w:rsid w:val="007F25E7"/>
    <w:rsid w:val="007F2772"/>
    <w:rsid w:val="007F2DE2"/>
    <w:rsid w:val="007F4B2A"/>
    <w:rsid w:val="007F5EA8"/>
    <w:rsid w:val="007F78CF"/>
    <w:rsid w:val="007F7924"/>
    <w:rsid w:val="00801BD6"/>
    <w:rsid w:val="00801DB9"/>
    <w:rsid w:val="00802362"/>
    <w:rsid w:val="008029B0"/>
    <w:rsid w:val="0080334C"/>
    <w:rsid w:val="00803602"/>
    <w:rsid w:val="008038B1"/>
    <w:rsid w:val="00804244"/>
    <w:rsid w:val="00804F68"/>
    <w:rsid w:val="00805135"/>
    <w:rsid w:val="00805439"/>
    <w:rsid w:val="008059F7"/>
    <w:rsid w:val="00805F64"/>
    <w:rsid w:val="0080618F"/>
    <w:rsid w:val="008062EF"/>
    <w:rsid w:val="008066B1"/>
    <w:rsid w:val="00807B85"/>
    <w:rsid w:val="00810E60"/>
    <w:rsid w:val="00810F7D"/>
    <w:rsid w:val="00811149"/>
    <w:rsid w:val="0081207E"/>
    <w:rsid w:val="00812178"/>
    <w:rsid w:val="008139EB"/>
    <w:rsid w:val="00813E60"/>
    <w:rsid w:val="0081444A"/>
    <w:rsid w:val="00815E8A"/>
    <w:rsid w:val="00815FE7"/>
    <w:rsid w:val="00817339"/>
    <w:rsid w:val="00817AC7"/>
    <w:rsid w:val="00821AAA"/>
    <w:rsid w:val="00821B74"/>
    <w:rsid w:val="00821FBD"/>
    <w:rsid w:val="00822F4D"/>
    <w:rsid w:val="00823855"/>
    <w:rsid w:val="0082425F"/>
    <w:rsid w:val="00824D04"/>
    <w:rsid w:val="0082542A"/>
    <w:rsid w:val="00825841"/>
    <w:rsid w:val="00825ABA"/>
    <w:rsid w:val="00825C06"/>
    <w:rsid w:val="00825E79"/>
    <w:rsid w:val="0082618F"/>
    <w:rsid w:val="00826327"/>
    <w:rsid w:val="0082716C"/>
    <w:rsid w:val="00827FF4"/>
    <w:rsid w:val="00830889"/>
    <w:rsid w:val="00831D44"/>
    <w:rsid w:val="00832124"/>
    <w:rsid w:val="008324AF"/>
    <w:rsid w:val="008328EB"/>
    <w:rsid w:val="00832A8B"/>
    <w:rsid w:val="00833FF6"/>
    <w:rsid w:val="00834B2B"/>
    <w:rsid w:val="00835565"/>
    <w:rsid w:val="0083620A"/>
    <w:rsid w:val="00836414"/>
    <w:rsid w:val="0083720D"/>
    <w:rsid w:val="00837256"/>
    <w:rsid w:val="00837C17"/>
    <w:rsid w:val="00840377"/>
    <w:rsid w:val="00841077"/>
    <w:rsid w:val="00841583"/>
    <w:rsid w:val="008417A5"/>
    <w:rsid w:val="00843871"/>
    <w:rsid w:val="00843B2B"/>
    <w:rsid w:val="0084440B"/>
    <w:rsid w:val="0084581D"/>
    <w:rsid w:val="0084651A"/>
    <w:rsid w:val="00846A93"/>
    <w:rsid w:val="00846BF7"/>
    <w:rsid w:val="0084720F"/>
    <w:rsid w:val="00847610"/>
    <w:rsid w:val="00847796"/>
    <w:rsid w:val="00847ACB"/>
    <w:rsid w:val="00847E2C"/>
    <w:rsid w:val="00850474"/>
    <w:rsid w:val="0085288A"/>
    <w:rsid w:val="00852CBD"/>
    <w:rsid w:val="00852DFF"/>
    <w:rsid w:val="00852E86"/>
    <w:rsid w:val="008532E5"/>
    <w:rsid w:val="0085374C"/>
    <w:rsid w:val="00853CF3"/>
    <w:rsid w:val="00853E8E"/>
    <w:rsid w:val="00854412"/>
    <w:rsid w:val="008546C2"/>
    <w:rsid w:val="008547BC"/>
    <w:rsid w:val="00855E40"/>
    <w:rsid w:val="00856020"/>
    <w:rsid w:val="00856C4C"/>
    <w:rsid w:val="00857154"/>
    <w:rsid w:val="00857617"/>
    <w:rsid w:val="00860097"/>
    <w:rsid w:val="00861498"/>
    <w:rsid w:val="00861C7B"/>
    <w:rsid w:val="00861F4C"/>
    <w:rsid w:val="008625C5"/>
    <w:rsid w:val="0086341B"/>
    <w:rsid w:val="00863712"/>
    <w:rsid w:val="00863A1A"/>
    <w:rsid w:val="008647B8"/>
    <w:rsid w:val="00864B6C"/>
    <w:rsid w:val="00864B76"/>
    <w:rsid w:val="00864F27"/>
    <w:rsid w:val="008655F2"/>
    <w:rsid w:val="0086563F"/>
    <w:rsid w:val="00865C76"/>
    <w:rsid w:val="00865CA3"/>
    <w:rsid w:val="00866597"/>
    <w:rsid w:val="00866618"/>
    <w:rsid w:val="00866A98"/>
    <w:rsid w:val="00866B47"/>
    <w:rsid w:val="00867261"/>
    <w:rsid w:val="008677B7"/>
    <w:rsid w:val="00870A21"/>
    <w:rsid w:val="00870E52"/>
    <w:rsid w:val="008731FB"/>
    <w:rsid w:val="008739C7"/>
    <w:rsid w:val="0087429D"/>
    <w:rsid w:val="00874737"/>
    <w:rsid w:val="00875F47"/>
    <w:rsid w:val="00876CDE"/>
    <w:rsid w:val="008773A2"/>
    <w:rsid w:val="008773AA"/>
    <w:rsid w:val="0088064F"/>
    <w:rsid w:val="00881A1B"/>
    <w:rsid w:val="0088464D"/>
    <w:rsid w:val="00885052"/>
    <w:rsid w:val="00885D00"/>
    <w:rsid w:val="00886489"/>
    <w:rsid w:val="00886918"/>
    <w:rsid w:val="00887494"/>
    <w:rsid w:val="00887BCD"/>
    <w:rsid w:val="00890D54"/>
    <w:rsid w:val="00891387"/>
    <w:rsid w:val="008922B0"/>
    <w:rsid w:val="00893ACE"/>
    <w:rsid w:val="00895466"/>
    <w:rsid w:val="00895D5E"/>
    <w:rsid w:val="00896906"/>
    <w:rsid w:val="008969EE"/>
    <w:rsid w:val="00896DF0"/>
    <w:rsid w:val="008979D0"/>
    <w:rsid w:val="00897A9B"/>
    <w:rsid w:val="008A0404"/>
    <w:rsid w:val="008A0866"/>
    <w:rsid w:val="008A0F7E"/>
    <w:rsid w:val="008A106D"/>
    <w:rsid w:val="008A1153"/>
    <w:rsid w:val="008A165B"/>
    <w:rsid w:val="008A1E51"/>
    <w:rsid w:val="008A1F60"/>
    <w:rsid w:val="008A2071"/>
    <w:rsid w:val="008A2464"/>
    <w:rsid w:val="008A2831"/>
    <w:rsid w:val="008A2BF5"/>
    <w:rsid w:val="008A314F"/>
    <w:rsid w:val="008A4C1D"/>
    <w:rsid w:val="008A4EF0"/>
    <w:rsid w:val="008A5AC4"/>
    <w:rsid w:val="008A5C01"/>
    <w:rsid w:val="008A7741"/>
    <w:rsid w:val="008A778C"/>
    <w:rsid w:val="008B085B"/>
    <w:rsid w:val="008B09B2"/>
    <w:rsid w:val="008B10ED"/>
    <w:rsid w:val="008B1D1E"/>
    <w:rsid w:val="008B1E4D"/>
    <w:rsid w:val="008B1E52"/>
    <w:rsid w:val="008B1F0B"/>
    <w:rsid w:val="008B25C3"/>
    <w:rsid w:val="008B2727"/>
    <w:rsid w:val="008B2E48"/>
    <w:rsid w:val="008B416F"/>
    <w:rsid w:val="008B42C8"/>
    <w:rsid w:val="008B42FF"/>
    <w:rsid w:val="008B4BDD"/>
    <w:rsid w:val="008B6501"/>
    <w:rsid w:val="008B6679"/>
    <w:rsid w:val="008B6912"/>
    <w:rsid w:val="008C0344"/>
    <w:rsid w:val="008C170E"/>
    <w:rsid w:val="008C1A71"/>
    <w:rsid w:val="008C1ED4"/>
    <w:rsid w:val="008C2185"/>
    <w:rsid w:val="008C2B9B"/>
    <w:rsid w:val="008C3198"/>
    <w:rsid w:val="008C3823"/>
    <w:rsid w:val="008C38B2"/>
    <w:rsid w:val="008C44B1"/>
    <w:rsid w:val="008C4732"/>
    <w:rsid w:val="008C6864"/>
    <w:rsid w:val="008C6F0F"/>
    <w:rsid w:val="008C6F77"/>
    <w:rsid w:val="008C7220"/>
    <w:rsid w:val="008C73F6"/>
    <w:rsid w:val="008C7710"/>
    <w:rsid w:val="008C7DD7"/>
    <w:rsid w:val="008C7F43"/>
    <w:rsid w:val="008D0435"/>
    <w:rsid w:val="008D0C6B"/>
    <w:rsid w:val="008D10D7"/>
    <w:rsid w:val="008D1588"/>
    <w:rsid w:val="008D1668"/>
    <w:rsid w:val="008D16C7"/>
    <w:rsid w:val="008D18DE"/>
    <w:rsid w:val="008D278B"/>
    <w:rsid w:val="008D2C53"/>
    <w:rsid w:val="008D2CA9"/>
    <w:rsid w:val="008D364B"/>
    <w:rsid w:val="008D4EB1"/>
    <w:rsid w:val="008D540C"/>
    <w:rsid w:val="008D5D2F"/>
    <w:rsid w:val="008D6E50"/>
    <w:rsid w:val="008D78C4"/>
    <w:rsid w:val="008E062D"/>
    <w:rsid w:val="008E1263"/>
    <w:rsid w:val="008E1833"/>
    <w:rsid w:val="008E2ADB"/>
    <w:rsid w:val="008E3B10"/>
    <w:rsid w:val="008E4121"/>
    <w:rsid w:val="008E41FF"/>
    <w:rsid w:val="008E4C30"/>
    <w:rsid w:val="008E6708"/>
    <w:rsid w:val="008E6AC9"/>
    <w:rsid w:val="008E7303"/>
    <w:rsid w:val="008E7B65"/>
    <w:rsid w:val="008F18ED"/>
    <w:rsid w:val="008F21EF"/>
    <w:rsid w:val="008F232C"/>
    <w:rsid w:val="008F2922"/>
    <w:rsid w:val="008F3127"/>
    <w:rsid w:val="008F4494"/>
    <w:rsid w:val="008F5324"/>
    <w:rsid w:val="008F57A1"/>
    <w:rsid w:val="008F5A4C"/>
    <w:rsid w:val="008F5B07"/>
    <w:rsid w:val="008F6054"/>
    <w:rsid w:val="008F66C4"/>
    <w:rsid w:val="008F6917"/>
    <w:rsid w:val="008F764B"/>
    <w:rsid w:val="0090060B"/>
    <w:rsid w:val="00900CF6"/>
    <w:rsid w:val="009013CE"/>
    <w:rsid w:val="009020EC"/>
    <w:rsid w:val="009023F2"/>
    <w:rsid w:val="00902C29"/>
    <w:rsid w:val="00902FC7"/>
    <w:rsid w:val="0090446E"/>
    <w:rsid w:val="00904C7D"/>
    <w:rsid w:val="00905511"/>
    <w:rsid w:val="009055AE"/>
    <w:rsid w:val="00906CA9"/>
    <w:rsid w:val="00907B99"/>
    <w:rsid w:val="00910022"/>
    <w:rsid w:val="009119DE"/>
    <w:rsid w:val="00912646"/>
    <w:rsid w:val="00912CA9"/>
    <w:rsid w:val="00913A45"/>
    <w:rsid w:val="00913BB4"/>
    <w:rsid w:val="0091550B"/>
    <w:rsid w:val="009159B8"/>
    <w:rsid w:val="00915FB8"/>
    <w:rsid w:val="00916C27"/>
    <w:rsid w:val="0091751E"/>
    <w:rsid w:val="00920484"/>
    <w:rsid w:val="009205BD"/>
    <w:rsid w:val="009212E9"/>
    <w:rsid w:val="0092161C"/>
    <w:rsid w:val="00921BC5"/>
    <w:rsid w:val="00921C50"/>
    <w:rsid w:val="00922009"/>
    <w:rsid w:val="0092300F"/>
    <w:rsid w:val="00923B14"/>
    <w:rsid w:val="009242F7"/>
    <w:rsid w:val="00924B9F"/>
    <w:rsid w:val="009265EE"/>
    <w:rsid w:val="00926DA0"/>
    <w:rsid w:val="009270C1"/>
    <w:rsid w:val="009304E7"/>
    <w:rsid w:val="00931116"/>
    <w:rsid w:val="009313CF"/>
    <w:rsid w:val="00931BC3"/>
    <w:rsid w:val="00931DA7"/>
    <w:rsid w:val="00933501"/>
    <w:rsid w:val="00933D17"/>
    <w:rsid w:val="00933E80"/>
    <w:rsid w:val="00935E90"/>
    <w:rsid w:val="009369EF"/>
    <w:rsid w:val="00937ECB"/>
    <w:rsid w:val="009412E6"/>
    <w:rsid w:val="00941EAF"/>
    <w:rsid w:val="00942CE5"/>
    <w:rsid w:val="00943472"/>
    <w:rsid w:val="00943660"/>
    <w:rsid w:val="009438F8"/>
    <w:rsid w:val="00943B51"/>
    <w:rsid w:val="009441AD"/>
    <w:rsid w:val="0094435C"/>
    <w:rsid w:val="00945FCC"/>
    <w:rsid w:val="00946481"/>
    <w:rsid w:val="009465E6"/>
    <w:rsid w:val="00947466"/>
    <w:rsid w:val="00950BBE"/>
    <w:rsid w:val="00950CAA"/>
    <w:rsid w:val="0095114D"/>
    <w:rsid w:val="00951A2B"/>
    <w:rsid w:val="009527C7"/>
    <w:rsid w:val="00952BBB"/>
    <w:rsid w:val="00953360"/>
    <w:rsid w:val="00953639"/>
    <w:rsid w:val="00953682"/>
    <w:rsid w:val="009536F1"/>
    <w:rsid w:val="0095511D"/>
    <w:rsid w:val="0095520F"/>
    <w:rsid w:val="00955716"/>
    <w:rsid w:val="00956976"/>
    <w:rsid w:val="00956CD9"/>
    <w:rsid w:val="00956DAB"/>
    <w:rsid w:val="00956DF4"/>
    <w:rsid w:val="009578B0"/>
    <w:rsid w:val="00957CDF"/>
    <w:rsid w:val="00960B61"/>
    <w:rsid w:val="00960CDE"/>
    <w:rsid w:val="0096119C"/>
    <w:rsid w:val="00961A92"/>
    <w:rsid w:val="00961DF4"/>
    <w:rsid w:val="00961E7E"/>
    <w:rsid w:val="00963BB1"/>
    <w:rsid w:val="0096517A"/>
    <w:rsid w:val="00965438"/>
    <w:rsid w:val="0096550A"/>
    <w:rsid w:val="009655F1"/>
    <w:rsid w:val="0096737B"/>
    <w:rsid w:val="00967CAE"/>
    <w:rsid w:val="00967D25"/>
    <w:rsid w:val="00967F0D"/>
    <w:rsid w:val="00970AA3"/>
    <w:rsid w:val="00970FD0"/>
    <w:rsid w:val="0097162A"/>
    <w:rsid w:val="00972374"/>
    <w:rsid w:val="00972D39"/>
    <w:rsid w:val="00974EE9"/>
    <w:rsid w:val="009755A9"/>
    <w:rsid w:val="0097577D"/>
    <w:rsid w:val="00976BCD"/>
    <w:rsid w:val="00977ED4"/>
    <w:rsid w:val="00980394"/>
    <w:rsid w:val="00981836"/>
    <w:rsid w:val="0098185D"/>
    <w:rsid w:val="0098187D"/>
    <w:rsid w:val="00981CC8"/>
    <w:rsid w:val="0098310E"/>
    <w:rsid w:val="00983353"/>
    <w:rsid w:val="00984D96"/>
    <w:rsid w:val="00985986"/>
    <w:rsid w:val="00986517"/>
    <w:rsid w:val="00986D55"/>
    <w:rsid w:val="00986DEB"/>
    <w:rsid w:val="00987439"/>
    <w:rsid w:val="00990056"/>
    <w:rsid w:val="009903F6"/>
    <w:rsid w:val="00990430"/>
    <w:rsid w:val="0099152B"/>
    <w:rsid w:val="0099154B"/>
    <w:rsid w:val="0099212B"/>
    <w:rsid w:val="00992309"/>
    <w:rsid w:val="009926D1"/>
    <w:rsid w:val="00992CA0"/>
    <w:rsid w:val="00994CF5"/>
    <w:rsid w:val="009954C1"/>
    <w:rsid w:val="009962B0"/>
    <w:rsid w:val="00996D65"/>
    <w:rsid w:val="00996F10"/>
    <w:rsid w:val="00996FB1"/>
    <w:rsid w:val="009973AA"/>
    <w:rsid w:val="009975F5"/>
    <w:rsid w:val="009A01C4"/>
    <w:rsid w:val="009A14FF"/>
    <w:rsid w:val="009A188A"/>
    <w:rsid w:val="009A2C3E"/>
    <w:rsid w:val="009A2EAC"/>
    <w:rsid w:val="009A327E"/>
    <w:rsid w:val="009A50CB"/>
    <w:rsid w:val="009A6235"/>
    <w:rsid w:val="009A66A9"/>
    <w:rsid w:val="009A7C27"/>
    <w:rsid w:val="009A7EA7"/>
    <w:rsid w:val="009B0A00"/>
    <w:rsid w:val="009B0C8B"/>
    <w:rsid w:val="009B1366"/>
    <w:rsid w:val="009B1D0A"/>
    <w:rsid w:val="009B3523"/>
    <w:rsid w:val="009B3D79"/>
    <w:rsid w:val="009B4387"/>
    <w:rsid w:val="009B4C2E"/>
    <w:rsid w:val="009B4C75"/>
    <w:rsid w:val="009B5708"/>
    <w:rsid w:val="009B5B64"/>
    <w:rsid w:val="009B663C"/>
    <w:rsid w:val="009B6C7F"/>
    <w:rsid w:val="009B778C"/>
    <w:rsid w:val="009B7B79"/>
    <w:rsid w:val="009C0028"/>
    <w:rsid w:val="009C0316"/>
    <w:rsid w:val="009C0317"/>
    <w:rsid w:val="009C040A"/>
    <w:rsid w:val="009C2F2F"/>
    <w:rsid w:val="009C4BBA"/>
    <w:rsid w:val="009C4DE6"/>
    <w:rsid w:val="009C58B5"/>
    <w:rsid w:val="009C6233"/>
    <w:rsid w:val="009C6616"/>
    <w:rsid w:val="009C74DC"/>
    <w:rsid w:val="009C7515"/>
    <w:rsid w:val="009C78BC"/>
    <w:rsid w:val="009D04BA"/>
    <w:rsid w:val="009D0688"/>
    <w:rsid w:val="009D0B6A"/>
    <w:rsid w:val="009D0DA1"/>
    <w:rsid w:val="009D1DEE"/>
    <w:rsid w:val="009D2323"/>
    <w:rsid w:val="009D28D0"/>
    <w:rsid w:val="009D30A5"/>
    <w:rsid w:val="009D347B"/>
    <w:rsid w:val="009D3D16"/>
    <w:rsid w:val="009D43F8"/>
    <w:rsid w:val="009D47A4"/>
    <w:rsid w:val="009D4CA0"/>
    <w:rsid w:val="009D52BE"/>
    <w:rsid w:val="009D5389"/>
    <w:rsid w:val="009D57D2"/>
    <w:rsid w:val="009D5A95"/>
    <w:rsid w:val="009D5F99"/>
    <w:rsid w:val="009D60E1"/>
    <w:rsid w:val="009D74D2"/>
    <w:rsid w:val="009D7E30"/>
    <w:rsid w:val="009E05EB"/>
    <w:rsid w:val="009E0756"/>
    <w:rsid w:val="009E1334"/>
    <w:rsid w:val="009E1D52"/>
    <w:rsid w:val="009E21F4"/>
    <w:rsid w:val="009E2B0B"/>
    <w:rsid w:val="009E2FE5"/>
    <w:rsid w:val="009E33BF"/>
    <w:rsid w:val="009E34AD"/>
    <w:rsid w:val="009E3A20"/>
    <w:rsid w:val="009E3F26"/>
    <w:rsid w:val="009E49D9"/>
    <w:rsid w:val="009E58F1"/>
    <w:rsid w:val="009E612E"/>
    <w:rsid w:val="009E67BD"/>
    <w:rsid w:val="009E7648"/>
    <w:rsid w:val="009E7987"/>
    <w:rsid w:val="009F1F98"/>
    <w:rsid w:val="009F216E"/>
    <w:rsid w:val="009F23C2"/>
    <w:rsid w:val="009F2DA4"/>
    <w:rsid w:val="009F3E3C"/>
    <w:rsid w:val="009F480D"/>
    <w:rsid w:val="009F4BA2"/>
    <w:rsid w:val="009F4CC7"/>
    <w:rsid w:val="009F4E84"/>
    <w:rsid w:val="009F4EE4"/>
    <w:rsid w:val="009F4FEE"/>
    <w:rsid w:val="009F53AF"/>
    <w:rsid w:val="009F63CB"/>
    <w:rsid w:val="009F69AE"/>
    <w:rsid w:val="009F77DC"/>
    <w:rsid w:val="00A0051F"/>
    <w:rsid w:val="00A007C1"/>
    <w:rsid w:val="00A007EB"/>
    <w:rsid w:val="00A01092"/>
    <w:rsid w:val="00A014E5"/>
    <w:rsid w:val="00A02900"/>
    <w:rsid w:val="00A03F84"/>
    <w:rsid w:val="00A04624"/>
    <w:rsid w:val="00A04708"/>
    <w:rsid w:val="00A04F4A"/>
    <w:rsid w:val="00A06008"/>
    <w:rsid w:val="00A061D9"/>
    <w:rsid w:val="00A0630C"/>
    <w:rsid w:val="00A06FAC"/>
    <w:rsid w:val="00A07641"/>
    <w:rsid w:val="00A07754"/>
    <w:rsid w:val="00A10CF4"/>
    <w:rsid w:val="00A121DB"/>
    <w:rsid w:val="00A125E5"/>
    <w:rsid w:val="00A1269F"/>
    <w:rsid w:val="00A128F6"/>
    <w:rsid w:val="00A12D1D"/>
    <w:rsid w:val="00A134E9"/>
    <w:rsid w:val="00A13BCA"/>
    <w:rsid w:val="00A13E0C"/>
    <w:rsid w:val="00A13EB6"/>
    <w:rsid w:val="00A13F31"/>
    <w:rsid w:val="00A140B8"/>
    <w:rsid w:val="00A14549"/>
    <w:rsid w:val="00A14CD6"/>
    <w:rsid w:val="00A15602"/>
    <w:rsid w:val="00A1709D"/>
    <w:rsid w:val="00A17F61"/>
    <w:rsid w:val="00A20028"/>
    <w:rsid w:val="00A2095B"/>
    <w:rsid w:val="00A20AAA"/>
    <w:rsid w:val="00A20BC5"/>
    <w:rsid w:val="00A20C94"/>
    <w:rsid w:val="00A21F9B"/>
    <w:rsid w:val="00A22484"/>
    <w:rsid w:val="00A22519"/>
    <w:rsid w:val="00A225EB"/>
    <w:rsid w:val="00A22B47"/>
    <w:rsid w:val="00A22D6F"/>
    <w:rsid w:val="00A2366C"/>
    <w:rsid w:val="00A239B6"/>
    <w:rsid w:val="00A250D5"/>
    <w:rsid w:val="00A26452"/>
    <w:rsid w:val="00A273F2"/>
    <w:rsid w:val="00A30CF8"/>
    <w:rsid w:val="00A3131C"/>
    <w:rsid w:val="00A316CF"/>
    <w:rsid w:val="00A3225D"/>
    <w:rsid w:val="00A32464"/>
    <w:rsid w:val="00A32678"/>
    <w:rsid w:val="00A33975"/>
    <w:rsid w:val="00A33D17"/>
    <w:rsid w:val="00A34014"/>
    <w:rsid w:val="00A35B14"/>
    <w:rsid w:val="00A35EB7"/>
    <w:rsid w:val="00A364D0"/>
    <w:rsid w:val="00A36DB1"/>
    <w:rsid w:val="00A37203"/>
    <w:rsid w:val="00A4087B"/>
    <w:rsid w:val="00A4222B"/>
    <w:rsid w:val="00A4269C"/>
    <w:rsid w:val="00A427CF"/>
    <w:rsid w:val="00A42824"/>
    <w:rsid w:val="00A42BD3"/>
    <w:rsid w:val="00A42F2D"/>
    <w:rsid w:val="00A43FEF"/>
    <w:rsid w:val="00A4426E"/>
    <w:rsid w:val="00A4551C"/>
    <w:rsid w:val="00A45567"/>
    <w:rsid w:val="00A45EE9"/>
    <w:rsid w:val="00A47D3E"/>
    <w:rsid w:val="00A47ED6"/>
    <w:rsid w:val="00A516E7"/>
    <w:rsid w:val="00A51ABC"/>
    <w:rsid w:val="00A51EF7"/>
    <w:rsid w:val="00A52F10"/>
    <w:rsid w:val="00A53566"/>
    <w:rsid w:val="00A53C50"/>
    <w:rsid w:val="00A55794"/>
    <w:rsid w:val="00A56136"/>
    <w:rsid w:val="00A5618B"/>
    <w:rsid w:val="00A56AD3"/>
    <w:rsid w:val="00A56B6C"/>
    <w:rsid w:val="00A56C17"/>
    <w:rsid w:val="00A5772F"/>
    <w:rsid w:val="00A57980"/>
    <w:rsid w:val="00A60028"/>
    <w:rsid w:val="00A60E71"/>
    <w:rsid w:val="00A61AA7"/>
    <w:rsid w:val="00A61C52"/>
    <w:rsid w:val="00A62589"/>
    <w:rsid w:val="00A62938"/>
    <w:rsid w:val="00A633CB"/>
    <w:rsid w:val="00A64565"/>
    <w:rsid w:val="00A645D4"/>
    <w:rsid w:val="00A647FB"/>
    <w:rsid w:val="00A653AF"/>
    <w:rsid w:val="00A67CF3"/>
    <w:rsid w:val="00A67DA9"/>
    <w:rsid w:val="00A7207E"/>
    <w:rsid w:val="00A7251A"/>
    <w:rsid w:val="00A72DA5"/>
    <w:rsid w:val="00A73EB8"/>
    <w:rsid w:val="00A7455D"/>
    <w:rsid w:val="00A76B54"/>
    <w:rsid w:val="00A770B9"/>
    <w:rsid w:val="00A8110A"/>
    <w:rsid w:val="00A81540"/>
    <w:rsid w:val="00A81F4A"/>
    <w:rsid w:val="00A8299F"/>
    <w:rsid w:val="00A83060"/>
    <w:rsid w:val="00A83891"/>
    <w:rsid w:val="00A83CFB"/>
    <w:rsid w:val="00A84F59"/>
    <w:rsid w:val="00A85E3C"/>
    <w:rsid w:val="00A85F92"/>
    <w:rsid w:val="00A85FA4"/>
    <w:rsid w:val="00A86108"/>
    <w:rsid w:val="00A875E7"/>
    <w:rsid w:val="00A87E7F"/>
    <w:rsid w:val="00A9057F"/>
    <w:rsid w:val="00A91070"/>
    <w:rsid w:val="00A91BAF"/>
    <w:rsid w:val="00A92EF6"/>
    <w:rsid w:val="00A93279"/>
    <w:rsid w:val="00A939A7"/>
    <w:rsid w:val="00A93FA2"/>
    <w:rsid w:val="00A94084"/>
    <w:rsid w:val="00A94C9F"/>
    <w:rsid w:val="00A94E56"/>
    <w:rsid w:val="00A94FC5"/>
    <w:rsid w:val="00A95619"/>
    <w:rsid w:val="00A95C7C"/>
    <w:rsid w:val="00A95CF0"/>
    <w:rsid w:val="00A9601E"/>
    <w:rsid w:val="00A97803"/>
    <w:rsid w:val="00A97896"/>
    <w:rsid w:val="00AA009E"/>
    <w:rsid w:val="00AA06E1"/>
    <w:rsid w:val="00AA08C2"/>
    <w:rsid w:val="00AA17E8"/>
    <w:rsid w:val="00AA219F"/>
    <w:rsid w:val="00AA24E9"/>
    <w:rsid w:val="00AA2A7B"/>
    <w:rsid w:val="00AA3EC8"/>
    <w:rsid w:val="00AA446B"/>
    <w:rsid w:val="00AA450D"/>
    <w:rsid w:val="00AA466F"/>
    <w:rsid w:val="00AA48D0"/>
    <w:rsid w:val="00AA580C"/>
    <w:rsid w:val="00AB02EC"/>
    <w:rsid w:val="00AB1242"/>
    <w:rsid w:val="00AB16FE"/>
    <w:rsid w:val="00AB1D61"/>
    <w:rsid w:val="00AB2C31"/>
    <w:rsid w:val="00AB328D"/>
    <w:rsid w:val="00AB43FF"/>
    <w:rsid w:val="00AB5270"/>
    <w:rsid w:val="00AB5E15"/>
    <w:rsid w:val="00AB6197"/>
    <w:rsid w:val="00AB7393"/>
    <w:rsid w:val="00AB761A"/>
    <w:rsid w:val="00AB7CA4"/>
    <w:rsid w:val="00AC0263"/>
    <w:rsid w:val="00AC080F"/>
    <w:rsid w:val="00AC0DBC"/>
    <w:rsid w:val="00AC0DD3"/>
    <w:rsid w:val="00AC24E1"/>
    <w:rsid w:val="00AC2E9B"/>
    <w:rsid w:val="00AC5329"/>
    <w:rsid w:val="00AC6974"/>
    <w:rsid w:val="00AC6D0A"/>
    <w:rsid w:val="00AC76B6"/>
    <w:rsid w:val="00AC7A11"/>
    <w:rsid w:val="00AC7C61"/>
    <w:rsid w:val="00AC7C7A"/>
    <w:rsid w:val="00AD1EBF"/>
    <w:rsid w:val="00AD3C7C"/>
    <w:rsid w:val="00AD40A3"/>
    <w:rsid w:val="00AD469A"/>
    <w:rsid w:val="00AD4852"/>
    <w:rsid w:val="00AD4C1F"/>
    <w:rsid w:val="00AD66E0"/>
    <w:rsid w:val="00AD7C79"/>
    <w:rsid w:val="00AE07C4"/>
    <w:rsid w:val="00AE0BB9"/>
    <w:rsid w:val="00AE0CAA"/>
    <w:rsid w:val="00AE140D"/>
    <w:rsid w:val="00AE1588"/>
    <w:rsid w:val="00AE1938"/>
    <w:rsid w:val="00AE29D9"/>
    <w:rsid w:val="00AE3051"/>
    <w:rsid w:val="00AE3893"/>
    <w:rsid w:val="00AE39D1"/>
    <w:rsid w:val="00AE3AA6"/>
    <w:rsid w:val="00AE4AD5"/>
    <w:rsid w:val="00AE6115"/>
    <w:rsid w:val="00AE62CD"/>
    <w:rsid w:val="00AE631D"/>
    <w:rsid w:val="00AE66FC"/>
    <w:rsid w:val="00AE7020"/>
    <w:rsid w:val="00AE7457"/>
    <w:rsid w:val="00AE7D2B"/>
    <w:rsid w:val="00AF1737"/>
    <w:rsid w:val="00AF26CA"/>
    <w:rsid w:val="00AF2C9B"/>
    <w:rsid w:val="00AF2E52"/>
    <w:rsid w:val="00AF3153"/>
    <w:rsid w:val="00AF36B2"/>
    <w:rsid w:val="00AF45BD"/>
    <w:rsid w:val="00AF46B4"/>
    <w:rsid w:val="00AF5A10"/>
    <w:rsid w:val="00B0009B"/>
    <w:rsid w:val="00B00FC4"/>
    <w:rsid w:val="00B01D7A"/>
    <w:rsid w:val="00B01DA9"/>
    <w:rsid w:val="00B02C78"/>
    <w:rsid w:val="00B02FB6"/>
    <w:rsid w:val="00B03048"/>
    <w:rsid w:val="00B03F4E"/>
    <w:rsid w:val="00B05849"/>
    <w:rsid w:val="00B07D92"/>
    <w:rsid w:val="00B106BD"/>
    <w:rsid w:val="00B10AC9"/>
    <w:rsid w:val="00B10D81"/>
    <w:rsid w:val="00B11CC0"/>
    <w:rsid w:val="00B12F2D"/>
    <w:rsid w:val="00B130DC"/>
    <w:rsid w:val="00B13B75"/>
    <w:rsid w:val="00B14060"/>
    <w:rsid w:val="00B140F0"/>
    <w:rsid w:val="00B143BD"/>
    <w:rsid w:val="00B1628D"/>
    <w:rsid w:val="00B16850"/>
    <w:rsid w:val="00B16CB2"/>
    <w:rsid w:val="00B17C0F"/>
    <w:rsid w:val="00B20122"/>
    <w:rsid w:val="00B2149A"/>
    <w:rsid w:val="00B21D6D"/>
    <w:rsid w:val="00B22ED0"/>
    <w:rsid w:val="00B23E82"/>
    <w:rsid w:val="00B251C1"/>
    <w:rsid w:val="00B25B9D"/>
    <w:rsid w:val="00B25D09"/>
    <w:rsid w:val="00B26A89"/>
    <w:rsid w:val="00B278AE"/>
    <w:rsid w:val="00B3036D"/>
    <w:rsid w:val="00B305A2"/>
    <w:rsid w:val="00B31314"/>
    <w:rsid w:val="00B31C67"/>
    <w:rsid w:val="00B3220F"/>
    <w:rsid w:val="00B322DF"/>
    <w:rsid w:val="00B32467"/>
    <w:rsid w:val="00B32E19"/>
    <w:rsid w:val="00B3364B"/>
    <w:rsid w:val="00B336DC"/>
    <w:rsid w:val="00B33755"/>
    <w:rsid w:val="00B33832"/>
    <w:rsid w:val="00B33E3F"/>
    <w:rsid w:val="00B34873"/>
    <w:rsid w:val="00B34A6D"/>
    <w:rsid w:val="00B34B87"/>
    <w:rsid w:val="00B353D0"/>
    <w:rsid w:val="00B35CBD"/>
    <w:rsid w:val="00B36DB0"/>
    <w:rsid w:val="00B36DDF"/>
    <w:rsid w:val="00B36F8A"/>
    <w:rsid w:val="00B37911"/>
    <w:rsid w:val="00B40787"/>
    <w:rsid w:val="00B41F19"/>
    <w:rsid w:val="00B41F95"/>
    <w:rsid w:val="00B42C86"/>
    <w:rsid w:val="00B4347E"/>
    <w:rsid w:val="00B43575"/>
    <w:rsid w:val="00B43CD3"/>
    <w:rsid w:val="00B44A8A"/>
    <w:rsid w:val="00B44CB5"/>
    <w:rsid w:val="00B46F0C"/>
    <w:rsid w:val="00B47761"/>
    <w:rsid w:val="00B47CA3"/>
    <w:rsid w:val="00B50D1E"/>
    <w:rsid w:val="00B5136A"/>
    <w:rsid w:val="00B5154E"/>
    <w:rsid w:val="00B52CE2"/>
    <w:rsid w:val="00B52D99"/>
    <w:rsid w:val="00B538FE"/>
    <w:rsid w:val="00B53A43"/>
    <w:rsid w:val="00B54F7D"/>
    <w:rsid w:val="00B55339"/>
    <w:rsid w:val="00B55716"/>
    <w:rsid w:val="00B5705A"/>
    <w:rsid w:val="00B57C65"/>
    <w:rsid w:val="00B60366"/>
    <w:rsid w:val="00B603A3"/>
    <w:rsid w:val="00B609D6"/>
    <w:rsid w:val="00B609F6"/>
    <w:rsid w:val="00B618B1"/>
    <w:rsid w:val="00B61D3A"/>
    <w:rsid w:val="00B61E10"/>
    <w:rsid w:val="00B626C9"/>
    <w:rsid w:val="00B62F36"/>
    <w:rsid w:val="00B63C8E"/>
    <w:rsid w:val="00B65500"/>
    <w:rsid w:val="00B655ED"/>
    <w:rsid w:val="00B65E4B"/>
    <w:rsid w:val="00B65E78"/>
    <w:rsid w:val="00B66212"/>
    <w:rsid w:val="00B66269"/>
    <w:rsid w:val="00B66BB9"/>
    <w:rsid w:val="00B67905"/>
    <w:rsid w:val="00B67A49"/>
    <w:rsid w:val="00B7067F"/>
    <w:rsid w:val="00B70FFB"/>
    <w:rsid w:val="00B72AC5"/>
    <w:rsid w:val="00B72BD7"/>
    <w:rsid w:val="00B72D35"/>
    <w:rsid w:val="00B7372B"/>
    <w:rsid w:val="00B73E58"/>
    <w:rsid w:val="00B7526D"/>
    <w:rsid w:val="00B75DDE"/>
    <w:rsid w:val="00B76B5F"/>
    <w:rsid w:val="00B7731C"/>
    <w:rsid w:val="00B77770"/>
    <w:rsid w:val="00B80534"/>
    <w:rsid w:val="00B80FA6"/>
    <w:rsid w:val="00B81235"/>
    <w:rsid w:val="00B8162C"/>
    <w:rsid w:val="00B8176C"/>
    <w:rsid w:val="00B8253A"/>
    <w:rsid w:val="00B8291B"/>
    <w:rsid w:val="00B8351D"/>
    <w:rsid w:val="00B836A4"/>
    <w:rsid w:val="00B838D1"/>
    <w:rsid w:val="00B83ABE"/>
    <w:rsid w:val="00B845DC"/>
    <w:rsid w:val="00B84D3D"/>
    <w:rsid w:val="00B84FD2"/>
    <w:rsid w:val="00B85CE3"/>
    <w:rsid w:val="00B85FFA"/>
    <w:rsid w:val="00B86908"/>
    <w:rsid w:val="00B869F5"/>
    <w:rsid w:val="00B86D9A"/>
    <w:rsid w:val="00B8706C"/>
    <w:rsid w:val="00B87E52"/>
    <w:rsid w:val="00B900D2"/>
    <w:rsid w:val="00B9067D"/>
    <w:rsid w:val="00B917DF"/>
    <w:rsid w:val="00B91996"/>
    <w:rsid w:val="00B91F80"/>
    <w:rsid w:val="00B93704"/>
    <w:rsid w:val="00B950F7"/>
    <w:rsid w:val="00B954A4"/>
    <w:rsid w:val="00B95E23"/>
    <w:rsid w:val="00B95F63"/>
    <w:rsid w:val="00B963B2"/>
    <w:rsid w:val="00B97DF5"/>
    <w:rsid w:val="00BA0669"/>
    <w:rsid w:val="00BA06FA"/>
    <w:rsid w:val="00BA0CEC"/>
    <w:rsid w:val="00BA0E98"/>
    <w:rsid w:val="00BA1129"/>
    <w:rsid w:val="00BA1495"/>
    <w:rsid w:val="00BA175E"/>
    <w:rsid w:val="00BA1916"/>
    <w:rsid w:val="00BA1ED6"/>
    <w:rsid w:val="00BA2470"/>
    <w:rsid w:val="00BA3038"/>
    <w:rsid w:val="00BA362E"/>
    <w:rsid w:val="00BA3D04"/>
    <w:rsid w:val="00BA3DC5"/>
    <w:rsid w:val="00BA4B15"/>
    <w:rsid w:val="00BA58DA"/>
    <w:rsid w:val="00BA5E2D"/>
    <w:rsid w:val="00BA65A8"/>
    <w:rsid w:val="00BA7084"/>
    <w:rsid w:val="00BA70C6"/>
    <w:rsid w:val="00BA71C9"/>
    <w:rsid w:val="00BA7774"/>
    <w:rsid w:val="00BB0E3B"/>
    <w:rsid w:val="00BB0EF1"/>
    <w:rsid w:val="00BB1193"/>
    <w:rsid w:val="00BB22C7"/>
    <w:rsid w:val="00BB2389"/>
    <w:rsid w:val="00BB2A69"/>
    <w:rsid w:val="00BB383C"/>
    <w:rsid w:val="00BB3A8C"/>
    <w:rsid w:val="00BB3BD8"/>
    <w:rsid w:val="00BB3F56"/>
    <w:rsid w:val="00BB4866"/>
    <w:rsid w:val="00BB4936"/>
    <w:rsid w:val="00BB5963"/>
    <w:rsid w:val="00BB68D8"/>
    <w:rsid w:val="00BB68F0"/>
    <w:rsid w:val="00BB6C59"/>
    <w:rsid w:val="00BB6EEC"/>
    <w:rsid w:val="00BC0CDE"/>
    <w:rsid w:val="00BC0D07"/>
    <w:rsid w:val="00BC26E5"/>
    <w:rsid w:val="00BC2916"/>
    <w:rsid w:val="00BC332C"/>
    <w:rsid w:val="00BC3598"/>
    <w:rsid w:val="00BC3760"/>
    <w:rsid w:val="00BC3F28"/>
    <w:rsid w:val="00BC41AE"/>
    <w:rsid w:val="00BC513C"/>
    <w:rsid w:val="00BC55BF"/>
    <w:rsid w:val="00BC5B8B"/>
    <w:rsid w:val="00BC61C3"/>
    <w:rsid w:val="00BC67B9"/>
    <w:rsid w:val="00BD0A1C"/>
    <w:rsid w:val="00BD17D4"/>
    <w:rsid w:val="00BD1BBF"/>
    <w:rsid w:val="00BD1DE8"/>
    <w:rsid w:val="00BD2017"/>
    <w:rsid w:val="00BD2800"/>
    <w:rsid w:val="00BD291A"/>
    <w:rsid w:val="00BD3297"/>
    <w:rsid w:val="00BD3665"/>
    <w:rsid w:val="00BD4397"/>
    <w:rsid w:val="00BD4656"/>
    <w:rsid w:val="00BD523C"/>
    <w:rsid w:val="00BD58BE"/>
    <w:rsid w:val="00BD5F54"/>
    <w:rsid w:val="00BD6EA1"/>
    <w:rsid w:val="00BD77D1"/>
    <w:rsid w:val="00BE024E"/>
    <w:rsid w:val="00BE0D7F"/>
    <w:rsid w:val="00BE1093"/>
    <w:rsid w:val="00BE10CC"/>
    <w:rsid w:val="00BE13A1"/>
    <w:rsid w:val="00BE1899"/>
    <w:rsid w:val="00BE1D04"/>
    <w:rsid w:val="00BE1D30"/>
    <w:rsid w:val="00BE2237"/>
    <w:rsid w:val="00BE2BB2"/>
    <w:rsid w:val="00BE2C82"/>
    <w:rsid w:val="00BE3A6B"/>
    <w:rsid w:val="00BE40A9"/>
    <w:rsid w:val="00BE42EB"/>
    <w:rsid w:val="00BE4DBD"/>
    <w:rsid w:val="00BE54C5"/>
    <w:rsid w:val="00BE6AEB"/>
    <w:rsid w:val="00BE6BAD"/>
    <w:rsid w:val="00BF006E"/>
    <w:rsid w:val="00BF03F2"/>
    <w:rsid w:val="00BF0854"/>
    <w:rsid w:val="00BF0CD3"/>
    <w:rsid w:val="00BF123A"/>
    <w:rsid w:val="00BF1A62"/>
    <w:rsid w:val="00BF1F02"/>
    <w:rsid w:val="00BF2AA3"/>
    <w:rsid w:val="00BF2B1B"/>
    <w:rsid w:val="00BF3FDA"/>
    <w:rsid w:val="00BF40B6"/>
    <w:rsid w:val="00BF4151"/>
    <w:rsid w:val="00BF43FE"/>
    <w:rsid w:val="00BF49E4"/>
    <w:rsid w:val="00BF629A"/>
    <w:rsid w:val="00BF638C"/>
    <w:rsid w:val="00BF67BC"/>
    <w:rsid w:val="00BF7357"/>
    <w:rsid w:val="00BF755D"/>
    <w:rsid w:val="00BF779F"/>
    <w:rsid w:val="00BF785D"/>
    <w:rsid w:val="00BF7E4F"/>
    <w:rsid w:val="00C010CD"/>
    <w:rsid w:val="00C02299"/>
    <w:rsid w:val="00C024D3"/>
    <w:rsid w:val="00C02A2A"/>
    <w:rsid w:val="00C02A8E"/>
    <w:rsid w:val="00C036FA"/>
    <w:rsid w:val="00C0404B"/>
    <w:rsid w:val="00C0418E"/>
    <w:rsid w:val="00C04313"/>
    <w:rsid w:val="00C0465E"/>
    <w:rsid w:val="00C048A1"/>
    <w:rsid w:val="00C04A6E"/>
    <w:rsid w:val="00C05672"/>
    <w:rsid w:val="00C06C63"/>
    <w:rsid w:val="00C1020E"/>
    <w:rsid w:val="00C109B1"/>
    <w:rsid w:val="00C10BAA"/>
    <w:rsid w:val="00C10F5B"/>
    <w:rsid w:val="00C114DA"/>
    <w:rsid w:val="00C127CB"/>
    <w:rsid w:val="00C129D1"/>
    <w:rsid w:val="00C12D9D"/>
    <w:rsid w:val="00C13828"/>
    <w:rsid w:val="00C13853"/>
    <w:rsid w:val="00C1394A"/>
    <w:rsid w:val="00C14119"/>
    <w:rsid w:val="00C145DC"/>
    <w:rsid w:val="00C150A9"/>
    <w:rsid w:val="00C15D99"/>
    <w:rsid w:val="00C16040"/>
    <w:rsid w:val="00C168A4"/>
    <w:rsid w:val="00C17A1C"/>
    <w:rsid w:val="00C20D12"/>
    <w:rsid w:val="00C2142C"/>
    <w:rsid w:val="00C22737"/>
    <w:rsid w:val="00C24705"/>
    <w:rsid w:val="00C2530B"/>
    <w:rsid w:val="00C25998"/>
    <w:rsid w:val="00C25DF0"/>
    <w:rsid w:val="00C2710A"/>
    <w:rsid w:val="00C27651"/>
    <w:rsid w:val="00C27848"/>
    <w:rsid w:val="00C314E0"/>
    <w:rsid w:val="00C31F3A"/>
    <w:rsid w:val="00C327DC"/>
    <w:rsid w:val="00C32FDE"/>
    <w:rsid w:val="00C33B3D"/>
    <w:rsid w:val="00C33DCC"/>
    <w:rsid w:val="00C3540C"/>
    <w:rsid w:val="00C354FB"/>
    <w:rsid w:val="00C359B5"/>
    <w:rsid w:val="00C36E5C"/>
    <w:rsid w:val="00C370E2"/>
    <w:rsid w:val="00C37789"/>
    <w:rsid w:val="00C37B2B"/>
    <w:rsid w:val="00C40394"/>
    <w:rsid w:val="00C406D4"/>
    <w:rsid w:val="00C423E0"/>
    <w:rsid w:val="00C430BC"/>
    <w:rsid w:val="00C43DD6"/>
    <w:rsid w:val="00C449E2"/>
    <w:rsid w:val="00C44FCE"/>
    <w:rsid w:val="00C4526F"/>
    <w:rsid w:val="00C45274"/>
    <w:rsid w:val="00C46104"/>
    <w:rsid w:val="00C463AD"/>
    <w:rsid w:val="00C46A83"/>
    <w:rsid w:val="00C47162"/>
    <w:rsid w:val="00C47A23"/>
    <w:rsid w:val="00C47DA2"/>
    <w:rsid w:val="00C50611"/>
    <w:rsid w:val="00C506CE"/>
    <w:rsid w:val="00C50F41"/>
    <w:rsid w:val="00C51002"/>
    <w:rsid w:val="00C51197"/>
    <w:rsid w:val="00C52345"/>
    <w:rsid w:val="00C52384"/>
    <w:rsid w:val="00C53537"/>
    <w:rsid w:val="00C5424C"/>
    <w:rsid w:val="00C54BFC"/>
    <w:rsid w:val="00C55286"/>
    <w:rsid w:val="00C55CF4"/>
    <w:rsid w:val="00C57696"/>
    <w:rsid w:val="00C57863"/>
    <w:rsid w:val="00C61206"/>
    <w:rsid w:val="00C61A7B"/>
    <w:rsid w:val="00C645B6"/>
    <w:rsid w:val="00C653D7"/>
    <w:rsid w:val="00C66D47"/>
    <w:rsid w:val="00C670FA"/>
    <w:rsid w:val="00C67D51"/>
    <w:rsid w:val="00C720DE"/>
    <w:rsid w:val="00C7238A"/>
    <w:rsid w:val="00C734FF"/>
    <w:rsid w:val="00C73714"/>
    <w:rsid w:val="00C74413"/>
    <w:rsid w:val="00C745AF"/>
    <w:rsid w:val="00C74718"/>
    <w:rsid w:val="00C75385"/>
    <w:rsid w:val="00C80CA4"/>
    <w:rsid w:val="00C811F3"/>
    <w:rsid w:val="00C81B3E"/>
    <w:rsid w:val="00C81B83"/>
    <w:rsid w:val="00C82C85"/>
    <w:rsid w:val="00C83930"/>
    <w:rsid w:val="00C849C8"/>
    <w:rsid w:val="00C84BA2"/>
    <w:rsid w:val="00C858CF"/>
    <w:rsid w:val="00C86689"/>
    <w:rsid w:val="00C867BF"/>
    <w:rsid w:val="00C86B9D"/>
    <w:rsid w:val="00C87A2C"/>
    <w:rsid w:val="00C87B9E"/>
    <w:rsid w:val="00C90413"/>
    <w:rsid w:val="00C90748"/>
    <w:rsid w:val="00C90ACE"/>
    <w:rsid w:val="00C916F5"/>
    <w:rsid w:val="00C91838"/>
    <w:rsid w:val="00C91906"/>
    <w:rsid w:val="00C93D42"/>
    <w:rsid w:val="00C9467A"/>
    <w:rsid w:val="00C9479E"/>
    <w:rsid w:val="00C950CB"/>
    <w:rsid w:val="00C954E8"/>
    <w:rsid w:val="00C95E6B"/>
    <w:rsid w:val="00CA0973"/>
    <w:rsid w:val="00CA0B89"/>
    <w:rsid w:val="00CA13B3"/>
    <w:rsid w:val="00CA1B06"/>
    <w:rsid w:val="00CA20D6"/>
    <w:rsid w:val="00CA2A2C"/>
    <w:rsid w:val="00CA2C5E"/>
    <w:rsid w:val="00CA367A"/>
    <w:rsid w:val="00CA3AE4"/>
    <w:rsid w:val="00CA4988"/>
    <w:rsid w:val="00CA5AFF"/>
    <w:rsid w:val="00CA5B16"/>
    <w:rsid w:val="00CA6809"/>
    <w:rsid w:val="00CA6B71"/>
    <w:rsid w:val="00CA7015"/>
    <w:rsid w:val="00CB03A1"/>
    <w:rsid w:val="00CB15ED"/>
    <w:rsid w:val="00CB3A7C"/>
    <w:rsid w:val="00CB43C7"/>
    <w:rsid w:val="00CB48B5"/>
    <w:rsid w:val="00CB72AA"/>
    <w:rsid w:val="00CC0537"/>
    <w:rsid w:val="00CC0556"/>
    <w:rsid w:val="00CC0978"/>
    <w:rsid w:val="00CC0A16"/>
    <w:rsid w:val="00CC2517"/>
    <w:rsid w:val="00CC25F3"/>
    <w:rsid w:val="00CC3265"/>
    <w:rsid w:val="00CC367B"/>
    <w:rsid w:val="00CC3FA4"/>
    <w:rsid w:val="00CC5015"/>
    <w:rsid w:val="00CC5AC4"/>
    <w:rsid w:val="00CC6F4E"/>
    <w:rsid w:val="00CD1052"/>
    <w:rsid w:val="00CD24D9"/>
    <w:rsid w:val="00CD2738"/>
    <w:rsid w:val="00CD2AA0"/>
    <w:rsid w:val="00CD4971"/>
    <w:rsid w:val="00CD5287"/>
    <w:rsid w:val="00CD54C6"/>
    <w:rsid w:val="00CD5646"/>
    <w:rsid w:val="00CD588D"/>
    <w:rsid w:val="00CD6283"/>
    <w:rsid w:val="00CD6517"/>
    <w:rsid w:val="00CD6581"/>
    <w:rsid w:val="00CD673F"/>
    <w:rsid w:val="00CD7050"/>
    <w:rsid w:val="00CD75E7"/>
    <w:rsid w:val="00CD780A"/>
    <w:rsid w:val="00CD78B9"/>
    <w:rsid w:val="00CD7D13"/>
    <w:rsid w:val="00CE02B0"/>
    <w:rsid w:val="00CE1014"/>
    <w:rsid w:val="00CE2294"/>
    <w:rsid w:val="00CE252E"/>
    <w:rsid w:val="00CE2E8C"/>
    <w:rsid w:val="00CE37FC"/>
    <w:rsid w:val="00CE407B"/>
    <w:rsid w:val="00CE4878"/>
    <w:rsid w:val="00CE4915"/>
    <w:rsid w:val="00CE5BFC"/>
    <w:rsid w:val="00CE638E"/>
    <w:rsid w:val="00CE6431"/>
    <w:rsid w:val="00CE689F"/>
    <w:rsid w:val="00CE6B99"/>
    <w:rsid w:val="00CE75AA"/>
    <w:rsid w:val="00CE7CB2"/>
    <w:rsid w:val="00CE7E80"/>
    <w:rsid w:val="00CF0CD0"/>
    <w:rsid w:val="00CF22D5"/>
    <w:rsid w:val="00CF2495"/>
    <w:rsid w:val="00CF2FB5"/>
    <w:rsid w:val="00CF3576"/>
    <w:rsid w:val="00CF390E"/>
    <w:rsid w:val="00CF4143"/>
    <w:rsid w:val="00CF4298"/>
    <w:rsid w:val="00CF5330"/>
    <w:rsid w:val="00CF5614"/>
    <w:rsid w:val="00CF5928"/>
    <w:rsid w:val="00CF5C49"/>
    <w:rsid w:val="00CF7184"/>
    <w:rsid w:val="00CF7AC5"/>
    <w:rsid w:val="00D005AC"/>
    <w:rsid w:val="00D00BAA"/>
    <w:rsid w:val="00D018C6"/>
    <w:rsid w:val="00D01A85"/>
    <w:rsid w:val="00D01DED"/>
    <w:rsid w:val="00D01E40"/>
    <w:rsid w:val="00D01E62"/>
    <w:rsid w:val="00D0252E"/>
    <w:rsid w:val="00D02676"/>
    <w:rsid w:val="00D0299E"/>
    <w:rsid w:val="00D02FD3"/>
    <w:rsid w:val="00D03C71"/>
    <w:rsid w:val="00D041FF"/>
    <w:rsid w:val="00D069BB"/>
    <w:rsid w:val="00D06D08"/>
    <w:rsid w:val="00D07605"/>
    <w:rsid w:val="00D07BA5"/>
    <w:rsid w:val="00D07CA6"/>
    <w:rsid w:val="00D07CAE"/>
    <w:rsid w:val="00D07D80"/>
    <w:rsid w:val="00D1065F"/>
    <w:rsid w:val="00D11019"/>
    <w:rsid w:val="00D11F4C"/>
    <w:rsid w:val="00D12161"/>
    <w:rsid w:val="00D13A56"/>
    <w:rsid w:val="00D13AB4"/>
    <w:rsid w:val="00D1604D"/>
    <w:rsid w:val="00D1627A"/>
    <w:rsid w:val="00D166E7"/>
    <w:rsid w:val="00D16FA3"/>
    <w:rsid w:val="00D17895"/>
    <w:rsid w:val="00D17A01"/>
    <w:rsid w:val="00D20161"/>
    <w:rsid w:val="00D228D3"/>
    <w:rsid w:val="00D22AB7"/>
    <w:rsid w:val="00D22BB2"/>
    <w:rsid w:val="00D237D5"/>
    <w:rsid w:val="00D248F4"/>
    <w:rsid w:val="00D25E9F"/>
    <w:rsid w:val="00D265B3"/>
    <w:rsid w:val="00D268C3"/>
    <w:rsid w:val="00D30070"/>
    <w:rsid w:val="00D302D5"/>
    <w:rsid w:val="00D30405"/>
    <w:rsid w:val="00D30962"/>
    <w:rsid w:val="00D3271B"/>
    <w:rsid w:val="00D333DF"/>
    <w:rsid w:val="00D33855"/>
    <w:rsid w:val="00D339FC"/>
    <w:rsid w:val="00D33A9A"/>
    <w:rsid w:val="00D33CA9"/>
    <w:rsid w:val="00D33D2F"/>
    <w:rsid w:val="00D33D88"/>
    <w:rsid w:val="00D34091"/>
    <w:rsid w:val="00D379C9"/>
    <w:rsid w:val="00D40A9D"/>
    <w:rsid w:val="00D41A1F"/>
    <w:rsid w:val="00D42065"/>
    <w:rsid w:val="00D42130"/>
    <w:rsid w:val="00D42FA3"/>
    <w:rsid w:val="00D442C1"/>
    <w:rsid w:val="00D4452B"/>
    <w:rsid w:val="00D45B76"/>
    <w:rsid w:val="00D4770C"/>
    <w:rsid w:val="00D50459"/>
    <w:rsid w:val="00D50978"/>
    <w:rsid w:val="00D51177"/>
    <w:rsid w:val="00D513AE"/>
    <w:rsid w:val="00D5150A"/>
    <w:rsid w:val="00D51A0E"/>
    <w:rsid w:val="00D51B92"/>
    <w:rsid w:val="00D51F6F"/>
    <w:rsid w:val="00D52B37"/>
    <w:rsid w:val="00D5387E"/>
    <w:rsid w:val="00D53E3B"/>
    <w:rsid w:val="00D5555C"/>
    <w:rsid w:val="00D55723"/>
    <w:rsid w:val="00D55746"/>
    <w:rsid w:val="00D55F1F"/>
    <w:rsid w:val="00D5640A"/>
    <w:rsid w:val="00D56D32"/>
    <w:rsid w:val="00D5703C"/>
    <w:rsid w:val="00D577D8"/>
    <w:rsid w:val="00D60E1C"/>
    <w:rsid w:val="00D60E48"/>
    <w:rsid w:val="00D615C3"/>
    <w:rsid w:val="00D61CF4"/>
    <w:rsid w:val="00D6241F"/>
    <w:rsid w:val="00D63E4F"/>
    <w:rsid w:val="00D64B07"/>
    <w:rsid w:val="00D64CD7"/>
    <w:rsid w:val="00D65903"/>
    <w:rsid w:val="00D67929"/>
    <w:rsid w:val="00D679D0"/>
    <w:rsid w:val="00D67D73"/>
    <w:rsid w:val="00D71051"/>
    <w:rsid w:val="00D7116F"/>
    <w:rsid w:val="00D71995"/>
    <w:rsid w:val="00D719A1"/>
    <w:rsid w:val="00D722A6"/>
    <w:rsid w:val="00D72955"/>
    <w:rsid w:val="00D72A9C"/>
    <w:rsid w:val="00D73327"/>
    <w:rsid w:val="00D733BD"/>
    <w:rsid w:val="00D73638"/>
    <w:rsid w:val="00D7394B"/>
    <w:rsid w:val="00D73CFB"/>
    <w:rsid w:val="00D75496"/>
    <w:rsid w:val="00D75714"/>
    <w:rsid w:val="00D7684B"/>
    <w:rsid w:val="00D777F5"/>
    <w:rsid w:val="00D81550"/>
    <w:rsid w:val="00D82B46"/>
    <w:rsid w:val="00D82D8B"/>
    <w:rsid w:val="00D840DF"/>
    <w:rsid w:val="00D848FE"/>
    <w:rsid w:val="00D84E00"/>
    <w:rsid w:val="00D851E3"/>
    <w:rsid w:val="00D85B61"/>
    <w:rsid w:val="00D87126"/>
    <w:rsid w:val="00D87EBE"/>
    <w:rsid w:val="00D90C22"/>
    <w:rsid w:val="00D918C2"/>
    <w:rsid w:val="00D91A58"/>
    <w:rsid w:val="00D92ECF"/>
    <w:rsid w:val="00D93008"/>
    <w:rsid w:val="00D9315A"/>
    <w:rsid w:val="00D93630"/>
    <w:rsid w:val="00D9385A"/>
    <w:rsid w:val="00D94733"/>
    <w:rsid w:val="00D948C4"/>
    <w:rsid w:val="00D94D8C"/>
    <w:rsid w:val="00D95847"/>
    <w:rsid w:val="00D96BA7"/>
    <w:rsid w:val="00D96FD3"/>
    <w:rsid w:val="00D972BE"/>
    <w:rsid w:val="00DA11A7"/>
    <w:rsid w:val="00DA1590"/>
    <w:rsid w:val="00DA1A47"/>
    <w:rsid w:val="00DA2178"/>
    <w:rsid w:val="00DA2A10"/>
    <w:rsid w:val="00DA3412"/>
    <w:rsid w:val="00DA37B4"/>
    <w:rsid w:val="00DA409D"/>
    <w:rsid w:val="00DA44FB"/>
    <w:rsid w:val="00DA5535"/>
    <w:rsid w:val="00DA5CEA"/>
    <w:rsid w:val="00DA6064"/>
    <w:rsid w:val="00DA69AB"/>
    <w:rsid w:val="00DA6EFB"/>
    <w:rsid w:val="00DA740F"/>
    <w:rsid w:val="00DA743D"/>
    <w:rsid w:val="00DB07E0"/>
    <w:rsid w:val="00DB0A80"/>
    <w:rsid w:val="00DB0B7E"/>
    <w:rsid w:val="00DB0D69"/>
    <w:rsid w:val="00DB1759"/>
    <w:rsid w:val="00DB218D"/>
    <w:rsid w:val="00DB46D1"/>
    <w:rsid w:val="00DB4835"/>
    <w:rsid w:val="00DB63E5"/>
    <w:rsid w:val="00DB7A20"/>
    <w:rsid w:val="00DB7F24"/>
    <w:rsid w:val="00DC11EC"/>
    <w:rsid w:val="00DC1222"/>
    <w:rsid w:val="00DC15B8"/>
    <w:rsid w:val="00DC16B5"/>
    <w:rsid w:val="00DC2108"/>
    <w:rsid w:val="00DC236E"/>
    <w:rsid w:val="00DC2A0F"/>
    <w:rsid w:val="00DC3028"/>
    <w:rsid w:val="00DC392C"/>
    <w:rsid w:val="00DC5987"/>
    <w:rsid w:val="00DC5BCD"/>
    <w:rsid w:val="00DC6474"/>
    <w:rsid w:val="00DC70FC"/>
    <w:rsid w:val="00DC7385"/>
    <w:rsid w:val="00DC73FB"/>
    <w:rsid w:val="00DD0379"/>
    <w:rsid w:val="00DD18BA"/>
    <w:rsid w:val="00DD1FB9"/>
    <w:rsid w:val="00DD2305"/>
    <w:rsid w:val="00DD3721"/>
    <w:rsid w:val="00DD37AB"/>
    <w:rsid w:val="00DD447B"/>
    <w:rsid w:val="00DD49E6"/>
    <w:rsid w:val="00DD54CF"/>
    <w:rsid w:val="00DD5B83"/>
    <w:rsid w:val="00DD6B5A"/>
    <w:rsid w:val="00DD6B7E"/>
    <w:rsid w:val="00DD70F2"/>
    <w:rsid w:val="00DD7A1F"/>
    <w:rsid w:val="00DD7D6B"/>
    <w:rsid w:val="00DE1080"/>
    <w:rsid w:val="00DE191A"/>
    <w:rsid w:val="00DE2E2A"/>
    <w:rsid w:val="00DE34D4"/>
    <w:rsid w:val="00DE5409"/>
    <w:rsid w:val="00DE55FC"/>
    <w:rsid w:val="00DE58C8"/>
    <w:rsid w:val="00DE5D60"/>
    <w:rsid w:val="00DE6527"/>
    <w:rsid w:val="00DE699E"/>
    <w:rsid w:val="00DE6A70"/>
    <w:rsid w:val="00DE6FB1"/>
    <w:rsid w:val="00DE73BE"/>
    <w:rsid w:val="00DE73DA"/>
    <w:rsid w:val="00DE7772"/>
    <w:rsid w:val="00DE7886"/>
    <w:rsid w:val="00DE7A82"/>
    <w:rsid w:val="00DF09EE"/>
    <w:rsid w:val="00DF0EAC"/>
    <w:rsid w:val="00DF0EC0"/>
    <w:rsid w:val="00DF1124"/>
    <w:rsid w:val="00DF263D"/>
    <w:rsid w:val="00DF2646"/>
    <w:rsid w:val="00DF3189"/>
    <w:rsid w:val="00DF3671"/>
    <w:rsid w:val="00DF39C8"/>
    <w:rsid w:val="00DF3F06"/>
    <w:rsid w:val="00DF417C"/>
    <w:rsid w:val="00DF534B"/>
    <w:rsid w:val="00DF5628"/>
    <w:rsid w:val="00DF571E"/>
    <w:rsid w:val="00DF58A8"/>
    <w:rsid w:val="00DF59B7"/>
    <w:rsid w:val="00DF62FB"/>
    <w:rsid w:val="00DF652B"/>
    <w:rsid w:val="00DF7372"/>
    <w:rsid w:val="00DF754F"/>
    <w:rsid w:val="00DF77EF"/>
    <w:rsid w:val="00DF79DE"/>
    <w:rsid w:val="00E02014"/>
    <w:rsid w:val="00E02E22"/>
    <w:rsid w:val="00E02FB4"/>
    <w:rsid w:val="00E03A0D"/>
    <w:rsid w:val="00E03AE6"/>
    <w:rsid w:val="00E04821"/>
    <w:rsid w:val="00E05216"/>
    <w:rsid w:val="00E05318"/>
    <w:rsid w:val="00E0575A"/>
    <w:rsid w:val="00E0592B"/>
    <w:rsid w:val="00E0709F"/>
    <w:rsid w:val="00E072FA"/>
    <w:rsid w:val="00E07345"/>
    <w:rsid w:val="00E07726"/>
    <w:rsid w:val="00E103A2"/>
    <w:rsid w:val="00E10F8B"/>
    <w:rsid w:val="00E1160B"/>
    <w:rsid w:val="00E11805"/>
    <w:rsid w:val="00E11B75"/>
    <w:rsid w:val="00E12CC4"/>
    <w:rsid w:val="00E131C4"/>
    <w:rsid w:val="00E141C8"/>
    <w:rsid w:val="00E14D15"/>
    <w:rsid w:val="00E14D9E"/>
    <w:rsid w:val="00E154F2"/>
    <w:rsid w:val="00E16EFC"/>
    <w:rsid w:val="00E1752F"/>
    <w:rsid w:val="00E2014C"/>
    <w:rsid w:val="00E201E1"/>
    <w:rsid w:val="00E202D8"/>
    <w:rsid w:val="00E21830"/>
    <w:rsid w:val="00E220E6"/>
    <w:rsid w:val="00E22448"/>
    <w:rsid w:val="00E224E9"/>
    <w:rsid w:val="00E2324C"/>
    <w:rsid w:val="00E232DE"/>
    <w:rsid w:val="00E250F2"/>
    <w:rsid w:val="00E260F8"/>
    <w:rsid w:val="00E261FF"/>
    <w:rsid w:val="00E26494"/>
    <w:rsid w:val="00E264C9"/>
    <w:rsid w:val="00E265F1"/>
    <w:rsid w:val="00E266E6"/>
    <w:rsid w:val="00E306A6"/>
    <w:rsid w:val="00E30BB3"/>
    <w:rsid w:val="00E30E32"/>
    <w:rsid w:val="00E31928"/>
    <w:rsid w:val="00E31E75"/>
    <w:rsid w:val="00E330D0"/>
    <w:rsid w:val="00E34CE1"/>
    <w:rsid w:val="00E35857"/>
    <w:rsid w:val="00E36177"/>
    <w:rsid w:val="00E36C42"/>
    <w:rsid w:val="00E36E98"/>
    <w:rsid w:val="00E370BF"/>
    <w:rsid w:val="00E374BB"/>
    <w:rsid w:val="00E37E19"/>
    <w:rsid w:val="00E4009B"/>
    <w:rsid w:val="00E40320"/>
    <w:rsid w:val="00E40ABE"/>
    <w:rsid w:val="00E40BBF"/>
    <w:rsid w:val="00E41217"/>
    <w:rsid w:val="00E4159C"/>
    <w:rsid w:val="00E42F15"/>
    <w:rsid w:val="00E430C7"/>
    <w:rsid w:val="00E43786"/>
    <w:rsid w:val="00E440A4"/>
    <w:rsid w:val="00E45155"/>
    <w:rsid w:val="00E471F4"/>
    <w:rsid w:val="00E47527"/>
    <w:rsid w:val="00E47DF8"/>
    <w:rsid w:val="00E507BD"/>
    <w:rsid w:val="00E51924"/>
    <w:rsid w:val="00E528F9"/>
    <w:rsid w:val="00E52C6E"/>
    <w:rsid w:val="00E53DA8"/>
    <w:rsid w:val="00E5457F"/>
    <w:rsid w:val="00E54944"/>
    <w:rsid w:val="00E556C2"/>
    <w:rsid w:val="00E55D78"/>
    <w:rsid w:val="00E56F2E"/>
    <w:rsid w:val="00E60303"/>
    <w:rsid w:val="00E60F1E"/>
    <w:rsid w:val="00E6301B"/>
    <w:rsid w:val="00E636BE"/>
    <w:rsid w:val="00E63E40"/>
    <w:rsid w:val="00E64F24"/>
    <w:rsid w:val="00E6590F"/>
    <w:rsid w:val="00E65F27"/>
    <w:rsid w:val="00E66FC4"/>
    <w:rsid w:val="00E67E2E"/>
    <w:rsid w:val="00E7067D"/>
    <w:rsid w:val="00E720E2"/>
    <w:rsid w:val="00E72248"/>
    <w:rsid w:val="00E7224C"/>
    <w:rsid w:val="00E72CCD"/>
    <w:rsid w:val="00E73E00"/>
    <w:rsid w:val="00E747F6"/>
    <w:rsid w:val="00E75930"/>
    <w:rsid w:val="00E75A83"/>
    <w:rsid w:val="00E75AF8"/>
    <w:rsid w:val="00E75C94"/>
    <w:rsid w:val="00E76F70"/>
    <w:rsid w:val="00E772AA"/>
    <w:rsid w:val="00E775E3"/>
    <w:rsid w:val="00E77889"/>
    <w:rsid w:val="00E80BEC"/>
    <w:rsid w:val="00E80D8C"/>
    <w:rsid w:val="00E80D90"/>
    <w:rsid w:val="00E81559"/>
    <w:rsid w:val="00E81760"/>
    <w:rsid w:val="00E81A4A"/>
    <w:rsid w:val="00E82CAA"/>
    <w:rsid w:val="00E8330F"/>
    <w:rsid w:val="00E8339B"/>
    <w:rsid w:val="00E844D7"/>
    <w:rsid w:val="00E85793"/>
    <w:rsid w:val="00E86822"/>
    <w:rsid w:val="00E86D0B"/>
    <w:rsid w:val="00E87072"/>
    <w:rsid w:val="00E87CBF"/>
    <w:rsid w:val="00E87EC3"/>
    <w:rsid w:val="00E90A91"/>
    <w:rsid w:val="00E90E5C"/>
    <w:rsid w:val="00E90FAB"/>
    <w:rsid w:val="00E90FE3"/>
    <w:rsid w:val="00E914A4"/>
    <w:rsid w:val="00E91866"/>
    <w:rsid w:val="00E93134"/>
    <w:rsid w:val="00E93B73"/>
    <w:rsid w:val="00E95061"/>
    <w:rsid w:val="00E96076"/>
    <w:rsid w:val="00E974B4"/>
    <w:rsid w:val="00EA00D0"/>
    <w:rsid w:val="00EA027D"/>
    <w:rsid w:val="00EA04B5"/>
    <w:rsid w:val="00EA1884"/>
    <w:rsid w:val="00EA2C87"/>
    <w:rsid w:val="00EA39EA"/>
    <w:rsid w:val="00EA3A62"/>
    <w:rsid w:val="00EA3CE3"/>
    <w:rsid w:val="00EA4E67"/>
    <w:rsid w:val="00EA4E94"/>
    <w:rsid w:val="00EA5435"/>
    <w:rsid w:val="00EA61BA"/>
    <w:rsid w:val="00EA6366"/>
    <w:rsid w:val="00EA788B"/>
    <w:rsid w:val="00EA7AFE"/>
    <w:rsid w:val="00EA7F7A"/>
    <w:rsid w:val="00EB045F"/>
    <w:rsid w:val="00EB0DEE"/>
    <w:rsid w:val="00EB2ADB"/>
    <w:rsid w:val="00EB37A1"/>
    <w:rsid w:val="00EB3A0D"/>
    <w:rsid w:val="00EB4058"/>
    <w:rsid w:val="00EB48B7"/>
    <w:rsid w:val="00EB4C79"/>
    <w:rsid w:val="00EB4E67"/>
    <w:rsid w:val="00EB5833"/>
    <w:rsid w:val="00EB69DE"/>
    <w:rsid w:val="00EB7CDF"/>
    <w:rsid w:val="00EC0186"/>
    <w:rsid w:val="00EC1FC2"/>
    <w:rsid w:val="00EC2EA0"/>
    <w:rsid w:val="00EC404C"/>
    <w:rsid w:val="00EC574A"/>
    <w:rsid w:val="00EC600D"/>
    <w:rsid w:val="00EC7CAA"/>
    <w:rsid w:val="00ED0A56"/>
    <w:rsid w:val="00ED1517"/>
    <w:rsid w:val="00ED1B8E"/>
    <w:rsid w:val="00ED22C2"/>
    <w:rsid w:val="00ED2767"/>
    <w:rsid w:val="00ED27D8"/>
    <w:rsid w:val="00ED3C89"/>
    <w:rsid w:val="00ED45BA"/>
    <w:rsid w:val="00ED60CC"/>
    <w:rsid w:val="00ED644B"/>
    <w:rsid w:val="00ED65E3"/>
    <w:rsid w:val="00ED7642"/>
    <w:rsid w:val="00EE0A55"/>
    <w:rsid w:val="00EE12F6"/>
    <w:rsid w:val="00EE2B08"/>
    <w:rsid w:val="00EE3306"/>
    <w:rsid w:val="00EE3925"/>
    <w:rsid w:val="00EE4233"/>
    <w:rsid w:val="00EE45DD"/>
    <w:rsid w:val="00EE58D5"/>
    <w:rsid w:val="00EE61EF"/>
    <w:rsid w:val="00EE670B"/>
    <w:rsid w:val="00EE7CA6"/>
    <w:rsid w:val="00EF0A23"/>
    <w:rsid w:val="00EF0B73"/>
    <w:rsid w:val="00EF1F39"/>
    <w:rsid w:val="00EF203B"/>
    <w:rsid w:val="00EF234C"/>
    <w:rsid w:val="00EF4149"/>
    <w:rsid w:val="00EF45DA"/>
    <w:rsid w:val="00EF4A01"/>
    <w:rsid w:val="00EF7083"/>
    <w:rsid w:val="00EF7F9C"/>
    <w:rsid w:val="00F0027E"/>
    <w:rsid w:val="00F016D4"/>
    <w:rsid w:val="00F018AD"/>
    <w:rsid w:val="00F02BDD"/>
    <w:rsid w:val="00F02F56"/>
    <w:rsid w:val="00F04514"/>
    <w:rsid w:val="00F04A86"/>
    <w:rsid w:val="00F079F4"/>
    <w:rsid w:val="00F07BED"/>
    <w:rsid w:val="00F11E07"/>
    <w:rsid w:val="00F12CA2"/>
    <w:rsid w:val="00F1382F"/>
    <w:rsid w:val="00F13F7D"/>
    <w:rsid w:val="00F14DF9"/>
    <w:rsid w:val="00F15397"/>
    <w:rsid w:val="00F155AB"/>
    <w:rsid w:val="00F163FB"/>
    <w:rsid w:val="00F20470"/>
    <w:rsid w:val="00F2162F"/>
    <w:rsid w:val="00F22BB9"/>
    <w:rsid w:val="00F23588"/>
    <w:rsid w:val="00F23BEB"/>
    <w:rsid w:val="00F23D03"/>
    <w:rsid w:val="00F2451D"/>
    <w:rsid w:val="00F2550F"/>
    <w:rsid w:val="00F25A8E"/>
    <w:rsid w:val="00F25C35"/>
    <w:rsid w:val="00F25CD8"/>
    <w:rsid w:val="00F2624A"/>
    <w:rsid w:val="00F27108"/>
    <w:rsid w:val="00F275BB"/>
    <w:rsid w:val="00F27731"/>
    <w:rsid w:val="00F27894"/>
    <w:rsid w:val="00F31097"/>
    <w:rsid w:val="00F31689"/>
    <w:rsid w:val="00F32B76"/>
    <w:rsid w:val="00F348DB"/>
    <w:rsid w:val="00F34D01"/>
    <w:rsid w:val="00F35B64"/>
    <w:rsid w:val="00F35F2E"/>
    <w:rsid w:val="00F364B9"/>
    <w:rsid w:val="00F376F5"/>
    <w:rsid w:val="00F40573"/>
    <w:rsid w:val="00F40D3E"/>
    <w:rsid w:val="00F4136F"/>
    <w:rsid w:val="00F41583"/>
    <w:rsid w:val="00F42B2E"/>
    <w:rsid w:val="00F42E3A"/>
    <w:rsid w:val="00F42FFB"/>
    <w:rsid w:val="00F4373C"/>
    <w:rsid w:val="00F44134"/>
    <w:rsid w:val="00F44938"/>
    <w:rsid w:val="00F44AD1"/>
    <w:rsid w:val="00F45072"/>
    <w:rsid w:val="00F45426"/>
    <w:rsid w:val="00F45D49"/>
    <w:rsid w:val="00F4678D"/>
    <w:rsid w:val="00F46B70"/>
    <w:rsid w:val="00F47423"/>
    <w:rsid w:val="00F4797B"/>
    <w:rsid w:val="00F507D3"/>
    <w:rsid w:val="00F51277"/>
    <w:rsid w:val="00F51731"/>
    <w:rsid w:val="00F517B3"/>
    <w:rsid w:val="00F51C35"/>
    <w:rsid w:val="00F51CAE"/>
    <w:rsid w:val="00F523A9"/>
    <w:rsid w:val="00F52FCC"/>
    <w:rsid w:val="00F5433A"/>
    <w:rsid w:val="00F55E02"/>
    <w:rsid w:val="00F6036A"/>
    <w:rsid w:val="00F60DEA"/>
    <w:rsid w:val="00F61F31"/>
    <w:rsid w:val="00F62096"/>
    <w:rsid w:val="00F62C72"/>
    <w:rsid w:val="00F64C11"/>
    <w:rsid w:val="00F65102"/>
    <w:rsid w:val="00F65143"/>
    <w:rsid w:val="00F6538D"/>
    <w:rsid w:val="00F655E4"/>
    <w:rsid w:val="00F6590D"/>
    <w:rsid w:val="00F661A5"/>
    <w:rsid w:val="00F66441"/>
    <w:rsid w:val="00F668A1"/>
    <w:rsid w:val="00F66D3C"/>
    <w:rsid w:val="00F719B7"/>
    <w:rsid w:val="00F71F6F"/>
    <w:rsid w:val="00F72A26"/>
    <w:rsid w:val="00F72D31"/>
    <w:rsid w:val="00F73BCC"/>
    <w:rsid w:val="00F73EED"/>
    <w:rsid w:val="00F7440D"/>
    <w:rsid w:val="00F746DF"/>
    <w:rsid w:val="00F74A62"/>
    <w:rsid w:val="00F75085"/>
    <w:rsid w:val="00F7592E"/>
    <w:rsid w:val="00F75E8C"/>
    <w:rsid w:val="00F7600E"/>
    <w:rsid w:val="00F77754"/>
    <w:rsid w:val="00F80E6F"/>
    <w:rsid w:val="00F81D60"/>
    <w:rsid w:val="00F81E3F"/>
    <w:rsid w:val="00F838FF"/>
    <w:rsid w:val="00F84455"/>
    <w:rsid w:val="00F85932"/>
    <w:rsid w:val="00F85A76"/>
    <w:rsid w:val="00F8633F"/>
    <w:rsid w:val="00F863F4"/>
    <w:rsid w:val="00F865B6"/>
    <w:rsid w:val="00F86632"/>
    <w:rsid w:val="00F86675"/>
    <w:rsid w:val="00F866C1"/>
    <w:rsid w:val="00F86B3E"/>
    <w:rsid w:val="00F86F62"/>
    <w:rsid w:val="00F8733A"/>
    <w:rsid w:val="00F87409"/>
    <w:rsid w:val="00F90128"/>
    <w:rsid w:val="00F908C1"/>
    <w:rsid w:val="00F90F5B"/>
    <w:rsid w:val="00F913E8"/>
    <w:rsid w:val="00F9154A"/>
    <w:rsid w:val="00F9164D"/>
    <w:rsid w:val="00F92AC8"/>
    <w:rsid w:val="00F93D05"/>
    <w:rsid w:val="00F93FA8"/>
    <w:rsid w:val="00F95DD3"/>
    <w:rsid w:val="00F95DDE"/>
    <w:rsid w:val="00F969E6"/>
    <w:rsid w:val="00F9708C"/>
    <w:rsid w:val="00F97B6E"/>
    <w:rsid w:val="00FA034A"/>
    <w:rsid w:val="00FA0476"/>
    <w:rsid w:val="00FA09C9"/>
    <w:rsid w:val="00FA107F"/>
    <w:rsid w:val="00FA1D0C"/>
    <w:rsid w:val="00FA28D6"/>
    <w:rsid w:val="00FA2AF2"/>
    <w:rsid w:val="00FA2C46"/>
    <w:rsid w:val="00FA3503"/>
    <w:rsid w:val="00FA4026"/>
    <w:rsid w:val="00FA4843"/>
    <w:rsid w:val="00FA4F88"/>
    <w:rsid w:val="00FA5317"/>
    <w:rsid w:val="00FA635B"/>
    <w:rsid w:val="00FA6424"/>
    <w:rsid w:val="00FA6798"/>
    <w:rsid w:val="00FA6B3F"/>
    <w:rsid w:val="00FA717B"/>
    <w:rsid w:val="00FA73FA"/>
    <w:rsid w:val="00FA7DC9"/>
    <w:rsid w:val="00FA7E29"/>
    <w:rsid w:val="00FB0B0E"/>
    <w:rsid w:val="00FB19AB"/>
    <w:rsid w:val="00FB2705"/>
    <w:rsid w:val="00FB2A8A"/>
    <w:rsid w:val="00FB3416"/>
    <w:rsid w:val="00FB36FD"/>
    <w:rsid w:val="00FB3EB1"/>
    <w:rsid w:val="00FB4119"/>
    <w:rsid w:val="00FB54F1"/>
    <w:rsid w:val="00FB559A"/>
    <w:rsid w:val="00FB5BDA"/>
    <w:rsid w:val="00FB6354"/>
    <w:rsid w:val="00FB72A6"/>
    <w:rsid w:val="00FB76DB"/>
    <w:rsid w:val="00FC028D"/>
    <w:rsid w:val="00FC06FB"/>
    <w:rsid w:val="00FC1D94"/>
    <w:rsid w:val="00FC2039"/>
    <w:rsid w:val="00FC32C8"/>
    <w:rsid w:val="00FC3696"/>
    <w:rsid w:val="00FC3AE9"/>
    <w:rsid w:val="00FC3CAA"/>
    <w:rsid w:val="00FC3D42"/>
    <w:rsid w:val="00FC4A7A"/>
    <w:rsid w:val="00FC51E4"/>
    <w:rsid w:val="00FC55EA"/>
    <w:rsid w:val="00FC6A54"/>
    <w:rsid w:val="00FD00BE"/>
    <w:rsid w:val="00FD016F"/>
    <w:rsid w:val="00FD0DF3"/>
    <w:rsid w:val="00FD11ED"/>
    <w:rsid w:val="00FD1FD3"/>
    <w:rsid w:val="00FD2089"/>
    <w:rsid w:val="00FD2AA3"/>
    <w:rsid w:val="00FD34D5"/>
    <w:rsid w:val="00FD396E"/>
    <w:rsid w:val="00FD43E8"/>
    <w:rsid w:val="00FD4414"/>
    <w:rsid w:val="00FD4B29"/>
    <w:rsid w:val="00FD54AC"/>
    <w:rsid w:val="00FD579E"/>
    <w:rsid w:val="00FD582C"/>
    <w:rsid w:val="00FD5FC4"/>
    <w:rsid w:val="00FD6B7D"/>
    <w:rsid w:val="00FD7065"/>
    <w:rsid w:val="00FE0177"/>
    <w:rsid w:val="00FE0934"/>
    <w:rsid w:val="00FE2AA1"/>
    <w:rsid w:val="00FE31BB"/>
    <w:rsid w:val="00FE365D"/>
    <w:rsid w:val="00FE4F4C"/>
    <w:rsid w:val="00FE62B2"/>
    <w:rsid w:val="00FE6873"/>
    <w:rsid w:val="00FF0F0B"/>
    <w:rsid w:val="00FF1A3E"/>
    <w:rsid w:val="00FF2023"/>
    <w:rsid w:val="00FF26D7"/>
    <w:rsid w:val="00FF2B64"/>
    <w:rsid w:val="00FF2C06"/>
    <w:rsid w:val="00FF5257"/>
    <w:rsid w:val="00FF52A7"/>
    <w:rsid w:val="00FF644A"/>
    <w:rsid w:val="00FF6585"/>
    <w:rsid w:val="00FF7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43A56"/>
  <w15:docId w15:val="{58547678-DB23-4383-BCEB-6521B67C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FB7"/>
    <w:rPr>
      <w:sz w:val="24"/>
      <w:szCs w:val="24"/>
      <w:lang w:eastAsia="en-US"/>
    </w:rPr>
  </w:style>
  <w:style w:type="paragraph" w:styleId="Heading1">
    <w:name w:val="heading 1"/>
    <w:basedOn w:val="Normal"/>
    <w:next w:val="BodyText"/>
    <w:qFormat/>
    <w:rsid w:val="00C048A1"/>
    <w:pPr>
      <w:keepNext/>
      <w:tabs>
        <w:tab w:val="left" w:pos="720"/>
      </w:tabs>
      <w:spacing w:before="240" w:after="60"/>
      <w:jc w:val="center"/>
      <w:outlineLvl w:val="0"/>
    </w:pPr>
    <w:rPr>
      <w:rFonts w:ascii="Times New Roman Bold" w:hAnsi="Times New Roman Bold"/>
      <w:b/>
      <w:kern w:val="28"/>
      <w:sz w:val="28"/>
      <w:szCs w:val="20"/>
    </w:rPr>
  </w:style>
  <w:style w:type="paragraph" w:styleId="Heading2">
    <w:name w:val="heading 2"/>
    <w:basedOn w:val="Normal"/>
    <w:next w:val="BodyText"/>
    <w:qFormat/>
    <w:rsid w:val="00C048A1"/>
    <w:pPr>
      <w:keepNext/>
      <w:tabs>
        <w:tab w:val="left" w:pos="720"/>
      </w:tabs>
      <w:spacing w:before="240" w:after="60"/>
      <w:jc w:val="both"/>
      <w:outlineLvl w:val="1"/>
    </w:pPr>
    <w:rPr>
      <w:rFonts w:ascii="Times New Roman Bold" w:hAnsi="Times New Roman Bold"/>
      <w:b/>
      <w:smallCaps/>
      <w:szCs w:val="20"/>
    </w:rPr>
  </w:style>
  <w:style w:type="paragraph" w:styleId="Heading3">
    <w:name w:val="heading 3"/>
    <w:basedOn w:val="Normal"/>
    <w:next w:val="BodyText"/>
    <w:qFormat/>
    <w:rsid w:val="00C048A1"/>
    <w:pPr>
      <w:keepNext/>
      <w:spacing w:before="240" w:after="60"/>
      <w:jc w:val="both"/>
      <w:outlineLvl w:val="2"/>
    </w:pPr>
    <w:rPr>
      <w:b/>
      <w:szCs w:val="20"/>
    </w:rPr>
  </w:style>
  <w:style w:type="paragraph" w:styleId="Heading4">
    <w:name w:val="heading 4"/>
    <w:basedOn w:val="Normal"/>
    <w:next w:val="BodyText"/>
    <w:qFormat/>
    <w:rsid w:val="00C16040"/>
    <w:pPr>
      <w:keepNext/>
      <w:spacing w:before="240" w:after="60"/>
      <w:jc w:val="both"/>
      <w:outlineLvl w:val="3"/>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A5E2D"/>
    <w:pPr>
      <w:spacing w:after="120"/>
      <w:jc w:val="both"/>
    </w:pPr>
    <w:rPr>
      <w:szCs w:val="20"/>
    </w:rPr>
  </w:style>
  <w:style w:type="paragraph" w:styleId="BodyTextIndent">
    <w:name w:val="Body Text Indent"/>
    <w:basedOn w:val="Normal"/>
    <w:rsid w:val="007B6D96"/>
    <w:pPr>
      <w:spacing w:after="120"/>
      <w:ind w:left="567"/>
      <w:jc w:val="both"/>
    </w:pPr>
    <w:rPr>
      <w:sz w:val="20"/>
      <w:szCs w:val="20"/>
    </w:rPr>
  </w:style>
  <w:style w:type="character" w:styleId="FootnoteReference">
    <w:name w:val="footnote reference"/>
    <w:semiHidden/>
    <w:rsid w:val="00C048A1"/>
    <w:rPr>
      <w:rFonts w:ascii="Times New Roman" w:hAnsi="Times New Roman"/>
      <w:sz w:val="20"/>
      <w:vertAlign w:val="superscript"/>
    </w:rPr>
  </w:style>
  <w:style w:type="paragraph" w:styleId="FootnoteText">
    <w:name w:val="footnote text"/>
    <w:aliases w:val="Car"/>
    <w:basedOn w:val="Normal"/>
    <w:link w:val="FootnoteTextChar"/>
    <w:semiHidden/>
    <w:rsid w:val="00C048A1"/>
    <w:pPr>
      <w:spacing w:before="120"/>
      <w:ind w:firstLine="720"/>
      <w:jc w:val="both"/>
    </w:pPr>
    <w:rPr>
      <w:sz w:val="20"/>
      <w:szCs w:val="20"/>
    </w:rPr>
  </w:style>
  <w:style w:type="character" w:styleId="LineNumber">
    <w:name w:val="line number"/>
    <w:basedOn w:val="DefaultParagraphFont"/>
    <w:rsid w:val="00C048A1"/>
    <w:rPr>
      <w:rFonts w:ascii="Times New Roman" w:hAnsi="Times New Roman"/>
      <w:sz w:val="20"/>
    </w:rPr>
  </w:style>
  <w:style w:type="character" w:styleId="PageNumber">
    <w:name w:val="page number"/>
    <w:basedOn w:val="DefaultParagraphFont"/>
    <w:rsid w:val="00C048A1"/>
  </w:style>
  <w:style w:type="paragraph" w:customStyle="1" w:styleId="OutlineheadingI">
    <w:name w:val="Outline heading I"/>
    <w:basedOn w:val="Heading1"/>
    <w:next w:val="BodyText"/>
    <w:rsid w:val="00C048A1"/>
    <w:pPr>
      <w:numPr>
        <w:numId w:val="1"/>
      </w:numPr>
      <w:tabs>
        <w:tab w:val="clear" w:pos="1440"/>
        <w:tab w:val="num" w:pos="360"/>
      </w:tabs>
      <w:ind w:left="0" w:firstLine="0"/>
      <w:jc w:val="left"/>
    </w:pPr>
  </w:style>
  <w:style w:type="paragraph" w:customStyle="1" w:styleId="OutlineheadingA">
    <w:name w:val="Outline heading A"/>
    <w:basedOn w:val="OutlineheadingI"/>
    <w:next w:val="BodyText"/>
    <w:autoRedefine/>
    <w:rsid w:val="00C048A1"/>
    <w:pPr>
      <w:numPr>
        <w:numId w:val="2"/>
      </w:numPr>
    </w:pPr>
    <w:rPr>
      <w:sz w:val="24"/>
    </w:rPr>
  </w:style>
  <w:style w:type="paragraph" w:customStyle="1" w:styleId="Outlineheading1">
    <w:name w:val="Outline heading 1"/>
    <w:basedOn w:val="OutlineheadingI"/>
    <w:next w:val="BodyText"/>
    <w:rsid w:val="00C048A1"/>
    <w:pPr>
      <w:numPr>
        <w:ilvl w:val="2"/>
        <w:numId w:val="3"/>
      </w:numPr>
    </w:pPr>
    <w:rPr>
      <w:i/>
      <w:sz w:val="24"/>
    </w:rPr>
  </w:style>
  <w:style w:type="paragraph" w:customStyle="1" w:styleId="1">
    <w:name w:val="1"/>
    <w:basedOn w:val="Normal"/>
    <w:rsid w:val="00C048A1"/>
    <w:pPr>
      <w:keepNext/>
      <w:numPr>
        <w:ilvl w:val="2"/>
        <w:numId w:val="6"/>
      </w:numPr>
      <w:spacing w:after="120"/>
      <w:jc w:val="both"/>
    </w:pPr>
    <w:rPr>
      <w:szCs w:val="20"/>
    </w:rPr>
  </w:style>
  <w:style w:type="paragraph" w:customStyle="1" w:styleId="a0">
    <w:name w:val="a"/>
    <w:basedOn w:val="1"/>
    <w:rsid w:val="00C048A1"/>
    <w:pPr>
      <w:numPr>
        <w:ilvl w:val="3"/>
      </w:numPr>
      <w:outlineLvl w:val="3"/>
    </w:pPr>
  </w:style>
  <w:style w:type="paragraph" w:customStyle="1" w:styleId="A">
    <w:name w:val="A"/>
    <w:basedOn w:val="Normal"/>
    <w:rsid w:val="00C048A1"/>
    <w:pPr>
      <w:keepNext/>
      <w:numPr>
        <w:ilvl w:val="1"/>
        <w:numId w:val="6"/>
      </w:numPr>
      <w:spacing w:after="120"/>
      <w:jc w:val="both"/>
    </w:pPr>
    <w:rPr>
      <w:szCs w:val="20"/>
    </w:rPr>
  </w:style>
  <w:style w:type="paragraph" w:customStyle="1" w:styleId="JohnA0">
    <w:name w:val="John A"/>
    <w:basedOn w:val="BodyText2"/>
    <w:rsid w:val="00E103A2"/>
    <w:pPr>
      <w:spacing w:line="240" w:lineRule="auto"/>
      <w:jc w:val="both"/>
    </w:pPr>
  </w:style>
  <w:style w:type="paragraph" w:styleId="BodyText2">
    <w:name w:val="Body Text 2"/>
    <w:basedOn w:val="Normal"/>
    <w:rsid w:val="00E103A2"/>
    <w:pPr>
      <w:numPr>
        <w:ilvl w:val="1"/>
        <w:numId w:val="10"/>
      </w:numPr>
      <w:spacing w:after="120" w:line="480" w:lineRule="auto"/>
    </w:pPr>
  </w:style>
  <w:style w:type="paragraph" w:customStyle="1" w:styleId="JohnI">
    <w:name w:val="John I"/>
    <w:basedOn w:val="BodyText"/>
    <w:rsid w:val="00E103A2"/>
  </w:style>
  <w:style w:type="paragraph" w:customStyle="1" w:styleId="John1">
    <w:name w:val="John 1"/>
    <w:basedOn w:val="Normal"/>
    <w:rsid w:val="00E103A2"/>
    <w:pPr>
      <w:spacing w:after="120"/>
      <w:jc w:val="both"/>
    </w:pPr>
  </w:style>
  <w:style w:type="paragraph" w:customStyle="1" w:styleId="Johna">
    <w:name w:val="John (a)"/>
    <w:basedOn w:val="Normal"/>
    <w:rsid w:val="00E103A2"/>
    <w:pPr>
      <w:numPr>
        <w:ilvl w:val="3"/>
        <w:numId w:val="10"/>
      </w:numPr>
      <w:spacing w:after="120"/>
      <w:jc w:val="both"/>
    </w:pPr>
  </w:style>
  <w:style w:type="paragraph" w:styleId="Quote">
    <w:name w:val="Quote"/>
    <w:basedOn w:val="Normal"/>
    <w:next w:val="Normal"/>
    <w:link w:val="QuoteChar"/>
    <w:uiPriority w:val="29"/>
    <w:qFormat/>
    <w:rsid w:val="00FE0934"/>
    <w:pPr>
      <w:spacing w:after="120"/>
      <w:ind w:left="567"/>
      <w:jc w:val="both"/>
    </w:pPr>
    <w:rPr>
      <w:iCs/>
      <w:color w:val="000000"/>
      <w:sz w:val="22"/>
    </w:rPr>
  </w:style>
  <w:style w:type="character" w:customStyle="1" w:styleId="QuoteChar">
    <w:name w:val="Quote Char"/>
    <w:basedOn w:val="DefaultParagraphFont"/>
    <w:link w:val="Quote"/>
    <w:uiPriority w:val="29"/>
    <w:rsid w:val="00FE0934"/>
    <w:rPr>
      <w:iCs/>
      <w:color w:val="000000"/>
      <w:sz w:val="22"/>
      <w:szCs w:val="24"/>
      <w:lang w:eastAsia="en-US"/>
    </w:rPr>
  </w:style>
  <w:style w:type="numbering" w:customStyle="1" w:styleId="Outline">
    <w:name w:val="Outline"/>
    <w:uiPriority w:val="99"/>
    <w:rsid w:val="004A219F"/>
    <w:pPr>
      <w:numPr>
        <w:numId w:val="11"/>
      </w:numPr>
    </w:pPr>
  </w:style>
  <w:style w:type="paragraph" w:styleId="List">
    <w:name w:val="List"/>
    <w:basedOn w:val="Normal"/>
    <w:rsid w:val="00011FB7"/>
    <w:pPr>
      <w:numPr>
        <w:numId w:val="20"/>
      </w:numPr>
      <w:spacing w:after="120"/>
      <w:ind w:left="357" w:hanging="357"/>
    </w:pPr>
  </w:style>
  <w:style w:type="paragraph" w:styleId="List2">
    <w:name w:val="List 2"/>
    <w:basedOn w:val="Normal"/>
    <w:rsid w:val="00011FB7"/>
    <w:pPr>
      <w:numPr>
        <w:ilvl w:val="1"/>
        <w:numId w:val="20"/>
      </w:numPr>
      <w:spacing w:after="120"/>
      <w:ind w:left="714" w:hanging="357"/>
    </w:pPr>
  </w:style>
  <w:style w:type="paragraph" w:styleId="List3">
    <w:name w:val="List 3"/>
    <w:basedOn w:val="Normal"/>
    <w:rsid w:val="00011FB7"/>
    <w:pPr>
      <w:numPr>
        <w:ilvl w:val="2"/>
        <w:numId w:val="20"/>
      </w:numPr>
      <w:spacing w:after="120"/>
      <w:ind w:left="1077" w:hanging="357"/>
    </w:pPr>
  </w:style>
  <w:style w:type="paragraph" w:styleId="List4">
    <w:name w:val="List 4"/>
    <w:basedOn w:val="Normal"/>
    <w:rsid w:val="00011FB7"/>
    <w:pPr>
      <w:numPr>
        <w:ilvl w:val="3"/>
        <w:numId w:val="20"/>
      </w:numPr>
      <w:spacing w:after="120"/>
      <w:ind w:left="1434" w:hanging="357"/>
    </w:pPr>
  </w:style>
  <w:style w:type="paragraph" w:styleId="List5">
    <w:name w:val="List 5"/>
    <w:basedOn w:val="Normal"/>
    <w:rsid w:val="00011FB7"/>
    <w:pPr>
      <w:numPr>
        <w:ilvl w:val="4"/>
        <w:numId w:val="20"/>
      </w:numPr>
      <w:spacing w:after="120"/>
      <w:ind w:left="1797" w:hanging="357"/>
    </w:pPr>
  </w:style>
  <w:style w:type="numbering" w:customStyle="1" w:styleId="Numbeedlist">
    <w:name w:val="Numbeed list"/>
    <w:uiPriority w:val="99"/>
    <w:rsid w:val="00850474"/>
    <w:pPr>
      <w:numPr>
        <w:numId w:val="21"/>
      </w:numPr>
    </w:pPr>
  </w:style>
  <w:style w:type="paragraph" w:styleId="ListParagraph">
    <w:name w:val="List Paragraph"/>
    <w:basedOn w:val="Normal"/>
    <w:uiPriority w:val="34"/>
    <w:qFormat/>
    <w:rsid w:val="005729F5"/>
    <w:pPr>
      <w:ind w:left="720"/>
      <w:contextualSpacing/>
    </w:pPr>
  </w:style>
  <w:style w:type="character" w:customStyle="1" w:styleId="FootnoteTextChar">
    <w:name w:val="Footnote Text Char"/>
    <w:aliases w:val="Car Char"/>
    <w:basedOn w:val="DefaultParagraphFont"/>
    <w:link w:val="FootnoteText"/>
    <w:semiHidden/>
    <w:rsid w:val="00647B21"/>
    <w:rPr>
      <w:lang w:eastAsia="en-US"/>
    </w:rPr>
  </w:style>
  <w:style w:type="character" w:customStyle="1" w:styleId="loose">
    <w:name w:val="loose"/>
    <w:basedOn w:val="DefaultParagraphFont"/>
    <w:rsid w:val="005C372E"/>
  </w:style>
  <w:style w:type="character" w:styleId="Hyperlink">
    <w:name w:val="Hyperlink"/>
    <w:basedOn w:val="DefaultParagraphFont"/>
    <w:rsid w:val="005C372E"/>
    <w:rPr>
      <w:color w:val="0000FF"/>
      <w:u w:val="single"/>
    </w:rPr>
  </w:style>
  <w:style w:type="character" w:styleId="Emphasis">
    <w:name w:val="Emphasis"/>
    <w:basedOn w:val="DefaultParagraphFont"/>
    <w:qFormat/>
    <w:rsid w:val="005C372E"/>
    <w:rPr>
      <w:i/>
      <w:iCs/>
    </w:rPr>
  </w:style>
  <w:style w:type="table" w:styleId="TableGrid">
    <w:name w:val="Table Grid"/>
    <w:basedOn w:val="TableNormal"/>
    <w:rsid w:val="00BF0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2B1EA6"/>
  </w:style>
  <w:style w:type="character" w:customStyle="1" w:styleId="verdana">
    <w:name w:val="verdana"/>
    <w:basedOn w:val="DefaultParagraphFont"/>
    <w:rsid w:val="002B1EA6"/>
  </w:style>
  <w:style w:type="character" w:customStyle="1" w:styleId="ssl4">
    <w:name w:val="ss_l4"/>
    <w:basedOn w:val="DefaultParagraphFont"/>
    <w:rsid w:val="002B1EA6"/>
  </w:style>
  <w:style w:type="character" w:customStyle="1" w:styleId="BodyTextChar">
    <w:name w:val="Body Text Char"/>
    <w:basedOn w:val="DefaultParagraphFont"/>
    <w:link w:val="BodyText"/>
    <w:rsid w:val="00DE58C8"/>
    <w:rPr>
      <w:sz w:val="24"/>
      <w:lang w:eastAsia="en-US"/>
    </w:rPr>
  </w:style>
  <w:style w:type="paragraph" w:styleId="Header">
    <w:name w:val="header"/>
    <w:basedOn w:val="Normal"/>
    <w:link w:val="HeaderChar"/>
    <w:unhideWhenUsed/>
    <w:rsid w:val="00D33D2F"/>
    <w:pPr>
      <w:tabs>
        <w:tab w:val="center" w:pos="4513"/>
        <w:tab w:val="right" w:pos="9026"/>
      </w:tabs>
    </w:pPr>
  </w:style>
  <w:style w:type="character" w:customStyle="1" w:styleId="HeaderChar">
    <w:name w:val="Header Char"/>
    <w:basedOn w:val="DefaultParagraphFont"/>
    <w:link w:val="Header"/>
    <w:rsid w:val="00D33D2F"/>
    <w:rPr>
      <w:sz w:val="24"/>
      <w:szCs w:val="24"/>
      <w:lang w:eastAsia="en-US"/>
    </w:rPr>
  </w:style>
  <w:style w:type="paragraph" w:styleId="Footer">
    <w:name w:val="footer"/>
    <w:basedOn w:val="Normal"/>
    <w:link w:val="FooterChar"/>
    <w:uiPriority w:val="99"/>
    <w:unhideWhenUsed/>
    <w:rsid w:val="00D33D2F"/>
    <w:pPr>
      <w:tabs>
        <w:tab w:val="center" w:pos="4513"/>
        <w:tab w:val="right" w:pos="9026"/>
      </w:tabs>
    </w:pPr>
  </w:style>
  <w:style w:type="character" w:customStyle="1" w:styleId="FooterChar">
    <w:name w:val="Footer Char"/>
    <w:basedOn w:val="DefaultParagraphFont"/>
    <w:link w:val="Footer"/>
    <w:uiPriority w:val="99"/>
    <w:rsid w:val="00D33D2F"/>
    <w:rPr>
      <w:sz w:val="24"/>
      <w:szCs w:val="24"/>
      <w:lang w:eastAsia="en-US"/>
    </w:rPr>
  </w:style>
  <w:style w:type="paragraph" w:styleId="HTMLPreformatted">
    <w:name w:val="HTML Preformatted"/>
    <w:basedOn w:val="Normal"/>
    <w:link w:val="HTMLPreformattedChar"/>
    <w:semiHidden/>
    <w:unhideWhenUsed/>
    <w:rsid w:val="008B6501"/>
    <w:rPr>
      <w:rFonts w:ascii="Consolas" w:hAnsi="Consolas"/>
      <w:sz w:val="20"/>
      <w:szCs w:val="20"/>
    </w:rPr>
  </w:style>
  <w:style w:type="character" w:customStyle="1" w:styleId="HTMLPreformattedChar">
    <w:name w:val="HTML Preformatted Char"/>
    <w:basedOn w:val="DefaultParagraphFont"/>
    <w:link w:val="HTMLPreformatted"/>
    <w:semiHidden/>
    <w:rsid w:val="008B6501"/>
    <w:rPr>
      <w:rFonts w:ascii="Consolas" w:hAnsi="Consolas"/>
      <w:lang w:eastAsia="en-US"/>
    </w:rPr>
  </w:style>
  <w:style w:type="character" w:customStyle="1" w:styleId="apple-style-span">
    <w:name w:val="apple-style-span"/>
    <w:basedOn w:val="DefaultParagraphFont"/>
    <w:rsid w:val="00A56AD3"/>
  </w:style>
  <w:style w:type="paragraph" w:styleId="NormalWeb">
    <w:name w:val="Normal (Web)"/>
    <w:basedOn w:val="Normal"/>
    <w:uiPriority w:val="99"/>
    <w:semiHidden/>
    <w:unhideWhenUsed/>
    <w:rsid w:val="003A2CCC"/>
    <w:rPr>
      <w:rFonts w:eastAsiaTheme="minorHAnsi"/>
      <w:lang w:eastAsia="en-GB"/>
    </w:rPr>
  </w:style>
  <w:style w:type="paragraph" w:styleId="BalloonText">
    <w:name w:val="Balloon Text"/>
    <w:basedOn w:val="Normal"/>
    <w:link w:val="BalloonTextChar"/>
    <w:semiHidden/>
    <w:unhideWhenUsed/>
    <w:rsid w:val="00DC1222"/>
    <w:rPr>
      <w:rFonts w:ascii="Segoe UI" w:hAnsi="Segoe UI" w:cs="Segoe UI"/>
      <w:sz w:val="18"/>
      <w:szCs w:val="18"/>
    </w:rPr>
  </w:style>
  <w:style w:type="character" w:customStyle="1" w:styleId="BalloonTextChar">
    <w:name w:val="Balloon Text Char"/>
    <w:basedOn w:val="DefaultParagraphFont"/>
    <w:link w:val="BalloonText"/>
    <w:semiHidden/>
    <w:rsid w:val="00DC1222"/>
    <w:rPr>
      <w:rFonts w:ascii="Segoe UI" w:hAnsi="Segoe UI" w:cs="Segoe UI"/>
      <w:sz w:val="18"/>
      <w:szCs w:val="18"/>
      <w:lang w:eastAsia="en-US"/>
    </w:rPr>
  </w:style>
  <w:style w:type="character" w:styleId="CommentReference">
    <w:name w:val="annotation reference"/>
    <w:basedOn w:val="DefaultParagraphFont"/>
    <w:semiHidden/>
    <w:unhideWhenUsed/>
    <w:rsid w:val="00671461"/>
    <w:rPr>
      <w:sz w:val="16"/>
      <w:szCs w:val="16"/>
    </w:rPr>
  </w:style>
  <w:style w:type="paragraph" w:styleId="CommentText">
    <w:name w:val="annotation text"/>
    <w:basedOn w:val="Normal"/>
    <w:link w:val="CommentTextChar"/>
    <w:semiHidden/>
    <w:unhideWhenUsed/>
    <w:rsid w:val="00671461"/>
    <w:rPr>
      <w:sz w:val="20"/>
      <w:szCs w:val="20"/>
    </w:rPr>
  </w:style>
  <w:style w:type="character" w:customStyle="1" w:styleId="CommentTextChar">
    <w:name w:val="Comment Text Char"/>
    <w:basedOn w:val="DefaultParagraphFont"/>
    <w:link w:val="CommentText"/>
    <w:semiHidden/>
    <w:rsid w:val="00671461"/>
    <w:rPr>
      <w:lang w:eastAsia="en-US"/>
    </w:rPr>
  </w:style>
  <w:style w:type="paragraph" w:styleId="CommentSubject">
    <w:name w:val="annotation subject"/>
    <w:basedOn w:val="CommentText"/>
    <w:next w:val="CommentText"/>
    <w:link w:val="CommentSubjectChar"/>
    <w:semiHidden/>
    <w:unhideWhenUsed/>
    <w:rsid w:val="00671461"/>
    <w:rPr>
      <w:b/>
      <w:bCs/>
    </w:rPr>
  </w:style>
  <w:style w:type="character" w:customStyle="1" w:styleId="CommentSubjectChar">
    <w:name w:val="Comment Subject Char"/>
    <w:basedOn w:val="CommentTextChar"/>
    <w:link w:val="CommentSubject"/>
    <w:semiHidden/>
    <w:rsid w:val="00671461"/>
    <w:rPr>
      <w:b/>
      <w:bCs/>
      <w:lang w:eastAsia="en-US"/>
    </w:rPr>
  </w:style>
  <w:style w:type="character" w:styleId="UnresolvedMention">
    <w:name w:val="Unresolved Mention"/>
    <w:basedOn w:val="DefaultParagraphFont"/>
    <w:uiPriority w:val="99"/>
    <w:semiHidden/>
    <w:unhideWhenUsed/>
    <w:rsid w:val="00A42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533608">
      <w:bodyDiv w:val="1"/>
      <w:marLeft w:val="0"/>
      <w:marRight w:val="0"/>
      <w:marTop w:val="0"/>
      <w:marBottom w:val="0"/>
      <w:divBdr>
        <w:top w:val="none" w:sz="0" w:space="0" w:color="auto"/>
        <w:left w:val="none" w:sz="0" w:space="0" w:color="auto"/>
        <w:bottom w:val="none" w:sz="0" w:space="0" w:color="auto"/>
        <w:right w:val="none" w:sz="0" w:space="0" w:color="auto"/>
      </w:divBdr>
    </w:div>
    <w:div w:id="320618378">
      <w:bodyDiv w:val="1"/>
      <w:marLeft w:val="0"/>
      <w:marRight w:val="0"/>
      <w:marTop w:val="0"/>
      <w:marBottom w:val="0"/>
      <w:divBdr>
        <w:top w:val="none" w:sz="0" w:space="0" w:color="auto"/>
        <w:left w:val="none" w:sz="0" w:space="0" w:color="auto"/>
        <w:bottom w:val="none" w:sz="0" w:space="0" w:color="auto"/>
        <w:right w:val="none" w:sz="0" w:space="0" w:color="auto"/>
      </w:divBdr>
    </w:div>
    <w:div w:id="323365210">
      <w:bodyDiv w:val="1"/>
      <w:marLeft w:val="0"/>
      <w:marRight w:val="0"/>
      <w:marTop w:val="0"/>
      <w:marBottom w:val="0"/>
      <w:divBdr>
        <w:top w:val="none" w:sz="0" w:space="0" w:color="auto"/>
        <w:left w:val="none" w:sz="0" w:space="0" w:color="auto"/>
        <w:bottom w:val="none" w:sz="0" w:space="0" w:color="auto"/>
        <w:right w:val="none" w:sz="0" w:space="0" w:color="auto"/>
      </w:divBdr>
      <w:divsChild>
        <w:div w:id="1665015110">
          <w:marLeft w:val="0"/>
          <w:marRight w:val="0"/>
          <w:marTop w:val="0"/>
          <w:marBottom w:val="0"/>
          <w:divBdr>
            <w:top w:val="none" w:sz="0" w:space="0" w:color="auto"/>
            <w:left w:val="none" w:sz="0" w:space="0" w:color="auto"/>
            <w:bottom w:val="none" w:sz="0" w:space="0" w:color="auto"/>
            <w:right w:val="none" w:sz="0" w:space="0" w:color="auto"/>
          </w:divBdr>
          <w:divsChild>
            <w:div w:id="946079520">
              <w:marLeft w:val="0"/>
              <w:marRight w:val="0"/>
              <w:marTop w:val="0"/>
              <w:marBottom w:val="0"/>
              <w:divBdr>
                <w:top w:val="none" w:sz="0" w:space="0" w:color="auto"/>
                <w:left w:val="none" w:sz="0" w:space="0" w:color="auto"/>
                <w:bottom w:val="none" w:sz="0" w:space="0" w:color="auto"/>
                <w:right w:val="none" w:sz="0" w:space="0" w:color="auto"/>
              </w:divBdr>
              <w:divsChild>
                <w:div w:id="602957993">
                  <w:marLeft w:val="0"/>
                  <w:marRight w:val="0"/>
                  <w:marTop w:val="0"/>
                  <w:marBottom w:val="0"/>
                  <w:divBdr>
                    <w:top w:val="none" w:sz="0" w:space="0" w:color="auto"/>
                    <w:left w:val="none" w:sz="0" w:space="0" w:color="auto"/>
                    <w:bottom w:val="none" w:sz="0" w:space="0" w:color="auto"/>
                    <w:right w:val="none" w:sz="0" w:space="0" w:color="auto"/>
                  </w:divBdr>
                  <w:divsChild>
                    <w:div w:id="11906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47424">
      <w:bodyDiv w:val="1"/>
      <w:marLeft w:val="0"/>
      <w:marRight w:val="0"/>
      <w:marTop w:val="0"/>
      <w:marBottom w:val="0"/>
      <w:divBdr>
        <w:top w:val="none" w:sz="0" w:space="0" w:color="auto"/>
        <w:left w:val="none" w:sz="0" w:space="0" w:color="auto"/>
        <w:bottom w:val="none" w:sz="0" w:space="0" w:color="auto"/>
        <w:right w:val="none" w:sz="0" w:space="0" w:color="auto"/>
      </w:divBdr>
    </w:div>
    <w:div w:id="491258583">
      <w:bodyDiv w:val="1"/>
      <w:marLeft w:val="0"/>
      <w:marRight w:val="0"/>
      <w:marTop w:val="0"/>
      <w:marBottom w:val="0"/>
      <w:divBdr>
        <w:top w:val="none" w:sz="0" w:space="0" w:color="auto"/>
        <w:left w:val="none" w:sz="0" w:space="0" w:color="auto"/>
        <w:bottom w:val="none" w:sz="0" w:space="0" w:color="auto"/>
        <w:right w:val="none" w:sz="0" w:space="0" w:color="auto"/>
      </w:divBdr>
      <w:divsChild>
        <w:div w:id="1397243102">
          <w:marLeft w:val="0"/>
          <w:marRight w:val="0"/>
          <w:marTop w:val="0"/>
          <w:marBottom w:val="0"/>
          <w:divBdr>
            <w:top w:val="none" w:sz="0" w:space="0" w:color="auto"/>
            <w:left w:val="none" w:sz="0" w:space="0" w:color="auto"/>
            <w:bottom w:val="none" w:sz="0" w:space="0" w:color="auto"/>
            <w:right w:val="none" w:sz="0" w:space="0" w:color="auto"/>
          </w:divBdr>
          <w:divsChild>
            <w:div w:id="12180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2668">
      <w:bodyDiv w:val="1"/>
      <w:marLeft w:val="0"/>
      <w:marRight w:val="0"/>
      <w:marTop w:val="0"/>
      <w:marBottom w:val="0"/>
      <w:divBdr>
        <w:top w:val="none" w:sz="0" w:space="0" w:color="auto"/>
        <w:left w:val="none" w:sz="0" w:space="0" w:color="auto"/>
        <w:bottom w:val="none" w:sz="0" w:space="0" w:color="auto"/>
        <w:right w:val="none" w:sz="0" w:space="0" w:color="auto"/>
      </w:divBdr>
      <w:divsChild>
        <w:div w:id="3941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889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148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3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087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52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04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62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9558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017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189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195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95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887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7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184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926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7425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720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031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701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3897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3913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317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36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258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300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288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690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830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9208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379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68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734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262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98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185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921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779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601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75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743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1883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356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076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0247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81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761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34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016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7962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41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69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7933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025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688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849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684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22674273">
      <w:bodyDiv w:val="1"/>
      <w:marLeft w:val="0"/>
      <w:marRight w:val="0"/>
      <w:marTop w:val="0"/>
      <w:marBottom w:val="0"/>
      <w:divBdr>
        <w:top w:val="none" w:sz="0" w:space="0" w:color="auto"/>
        <w:left w:val="none" w:sz="0" w:space="0" w:color="auto"/>
        <w:bottom w:val="none" w:sz="0" w:space="0" w:color="auto"/>
        <w:right w:val="none" w:sz="0" w:space="0" w:color="auto"/>
      </w:divBdr>
    </w:div>
    <w:div w:id="745568729">
      <w:bodyDiv w:val="1"/>
      <w:marLeft w:val="0"/>
      <w:marRight w:val="0"/>
      <w:marTop w:val="0"/>
      <w:marBottom w:val="0"/>
      <w:divBdr>
        <w:top w:val="none" w:sz="0" w:space="0" w:color="auto"/>
        <w:left w:val="none" w:sz="0" w:space="0" w:color="auto"/>
        <w:bottom w:val="none" w:sz="0" w:space="0" w:color="auto"/>
        <w:right w:val="none" w:sz="0" w:space="0" w:color="auto"/>
      </w:divBdr>
    </w:div>
    <w:div w:id="855384397">
      <w:bodyDiv w:val="1"/>
      <w:marLeft w:val="0"/>
      <w:marRight w:val="0"/>
      <w:marTop w:val="0"/>
      <w:marBottom w:val="0"/>
      <w:divBdr>
        <w:top w:val="none" w:sz="0" w:space="0" w:color="auto"/>
        <w:left w:val="none" w:sz="0" w:space="0" w:color="auto"/>
        <w:bottom w:val="none" w:sz="0" w:space="0" w:color="auto"/>
        <w:right w:val="none" w:sz="0" w:space="0" w:color="auto"/>
      </w:divBdr>
    </w:div>
    <w:div w:id="1026908798">
      <w:bodyDiv w:val="1"/>
      <w:marLeft w:val="0"/>
      <w:marRight w:val="0"/>
      <w:marTop w:val="0"/>
      <w:marBottom w:val="0"/>
      <w:divBdr>
        <w:top w:val="none" w:sz="0" w:space="0" w:color="auto"/>
        <w:left w:val="none" w:sz="0" w:space="0" w:color="auto"/>
        <w:bottom w:val="none" w:sz="0" w:space="0" w:color="auto"/>
        <w:right w:val="none" w:sz="0" w:space="0" w:color="auto"/>
      </w:divBdr>
    </w:div>
    <w:div w:id="1116874500">
      <w:bodyDiv w:val="1"/>
      <w:marLeft w:val="0"/>
      <w:marRight w:val="0"/>
      <w:marTop w:val="0"/>
      <w:marBottom w:val="0"/>
      <w:divBdr>
        <w:top w:val="none" w:sz="0" w:space="0" w:color="auto"/>
        <w:left w:val="none" w:sz="0" w:space="0" w:color="auto"/>
        <w:bottom w:val="none" w:sz="0" w:space="0" w:color="auto"/>
        <w:right w:val="none" w:sz="0" w:space="0" w:color="auto"/>
      </w:divBdr>
    </w:div>
    <w:div w:id="1198474093">
      <w:bodyDiv w:val="1"/>
      <w:marLeft w:val="0"/>
      <w:marRight w:val="0"/>
      <w:marTop w:val="0"/>
      <w:marBottom w:val="0"/>
      <w:divBdr>
        <w:top w:val="none" w:sz="0" w:space="0" w:color="auto"/>
        <w:left w:val="none" w:sz="0" w:space="0" w:color="auto"/>
        <w:bottom w:val="none" w:sz="0" w:space="0" w:color="auto"/>
        <w:right w:val="none" w:sz="0" w:space="0" w:color="auto"/>
      </w:divBdr>
    </w:div>
    <w:div w:id="1371757924">
      <w:bodyDiv w:val="1"/>
      <w:marLeft w:val="0"/>
      <w:marRight w:val="0"/>
      <w:marTop w:val="0"/>
      <w:marBottom w:val="0"/>
      <w:divBdr>
        <w:top w:val="none" w:sz="0" w:space="0" w:color="auto"/>
        <w:left w:val="none" w:sz="0" w:space="0" w:color="auto"/>
        <w:bottom w:val="none" w:sz="0" w:space="0" w:color="auto"/>
        <w:right w:val="none" w:sz="0" w:space="0" w:color="auto"/>
      </w:divBdr>
    </w:div>
    <w:div w:id="1432428620">
      <w:bodyDiv w:val="1"/>
      <w:marLeft w:val="0"/>
      <w:marRight w:val="0"/>
      <w:marTop w:val="0"/>
      <w:marBottom w:val="0"/>
      <w:divBdr>
        <w:top w:val="none" w:sz="0" w:space="0" w:color="auto"/>
        <w:left w:val="none" w:sz="0" w:space="0" w:color="auto"/>
        <w:bottom w:val="none" w:sz="0" w:space="0" w:color="auto"/>
        <w:right w:val="none" w:sz="0" w:space="0" w:color="auto"/>
      </w:divBdr>
    </w:div>
    <w:div w:id="1463310575">
      <w:bodyDiv w:val="1"/>
      <w:marLeft w:val="0"/>
      <w:marRight w:val="0"/>
      <w:marTop w:val="0"/>
      <w:marBottom w:val="0"/>
      <w:divBdr>
        <w:top w:val="none" w:sz="0" w:space="0" w:color="auto"/>
        <w:left w:val="none" w:sz="0" w:space="0" w:color="auto"/>
        <w:bottom w:val="none" w:sz="0" w:space="0" w:color="auto"/>
        <w:right w:val="none" w:sz="0" w:space="0" w:color="auto"/>
      </w:divBdr>
    </w:div>
    <w:div w:id="1543055299">
      <w:bodyDiv w:val="1"/>
      <w:marLeft w:val="0"/>
      <w:marRight w:val="0"/>
      <w:marTop w:val="0"/>
      <w:marBottom w:val="0"/>
      <w:divBdr>
        <w:top w:val="none" w:sz="0" w:space="0" w:color="auto"/>
        <w:left w:val="none" w:sz="0" w:space="0" w:color="auto"/>
        <w:bottom w:val="none" w:sz="0" w:space="0" w:color="auto"/>
        <w:right w:val="none" w:sz="0" w:space="0" w:color="auto"/>
      </w:divBdr>
    </w:div>
    <w:div w:id="1642075649">
      <w:bodyDiv w:val="1"/>
      <w:marLeft w:val="0"/>
      <w:marRight w:val="0"/>
      <w:marTop w:val="0"/>
      <w:marBottom w:val="0"/>
      <w:divBdr>
        <w:top w:val="none" w:sz="0" w:space="0" w:color="auto"/>
        <w:left w:val="none" w:sz="0" w:space="0" w:color="auto"/>
        <w:bottom w:val="none" w:sz="0" w:space="0" w:color="auto"/>
        <w:right w:val="none" w:sz="0" w:space="0" w:color="auto"/>
      </w:divBdr>
    </w:div>
    <w:div w:id="1707441223">
      <w:bodyDiv w:val="1"/>
      <w:marLeft w:val="0"/>
      <w:marRight w:val="0"/>
      <w:marTop w:val="0"/>
      <w:marBottom w:val="0"/>
      <w:divBdr>
        <w:top w:val="none" w:sz="0" w:space="0" w:color="auto"/>
        <w:left w:val="none" w:sz="0" w:space="0" w:color="auto"/>
        <w:bottom w:val="none" w:sz="0" w:space="0" w:color="auto"/>
        <w:right w:val="none" w:sz="0" w:space="0" w:color="auto"/>
      </w:divBdr>
    </w:div>
    <w:div w:id="1899976603">
      <w:bodyDiv w:val="1"/>
      <w:marLeft w:val="0"/>
      <w:marRight w:val="0"/>
      <w:marTop w:val="0"/>
      <w:marBottom w:val="0"/>
      <w:divBdr>
        <w:top w:val="none" w:sz="0" w:space="0" w:color="auto"/>
        <w:left w:val="none" w:sz="0" w:space="0" w:color="auto"/>
        <w:bottom w:val="none" w:sz="0" w:space="0" w:color="auto"/>
        <w:right w:val="none" w:sz="0" w:space="0" w:color="auto"/>
      </w:divBdr>
    </w:div>
    <w:div w:id="1973292051">
      <w:bodyDiv w:val="1"/>
      <w:marLeft w:val="0"/>
      <w:marRight w:val="0"/>
      <w:marTop w:val="0"/>
      <w:marBottom w:val="0"/>
      <w:divBdr>
        <w:top w:val="none" w:sz="0" w:space="0" w:color="auto"/>
        <w:left w:val="none" w:sz="0" w:space="0" w:color="auto"/>
        <w:bottom w:val="none" w:sz="0" w:space="0" w:color="auto"/>
        <w:right w:val="none" w:sz="0" w:space="0" w:color="auto"/>
      </w:divBdr>
    </w:div>
    <w:div w:id="2033460583">
      <w:bodyDiv w:val="1"/>
      <w:marLeft w:val="0"/>
      <w:marRight w:val="0"/>
      <w:marTop w:val="0"/>
      <w:marBottom w:val="0"/>
      <w:divBdr>
        <w:top w:val="none" w:sz="0" w:space="0" w:color="auto"/>
        <w:left w:val="none" w:sz="0" w:space="0" w:color="auto"/>
        <w:bottom w:val="none" w:sz="0" w:space="0" w:color="auto"/>
        <w:right w:val="none" w:sz="0" w:space="0" w:color="auto"/>
      </w:divBdr>
    </w:div>
    <w:div w:id="208282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20Avery%20Jones\AppData\Roaming\Microsoft\Templates\John%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BDA19-80F7-40E2-8153-92EDD6EF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John 10</Template>
  <TotalTime>1</TotalTime>
  <Pages>17</Pages>
  <Words>6527</Words>
  <Characters>37206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Avery Jones</dc:creator>
  <cp:keywords/>
  <dc:description/>
  <cp:lastModifiedBy>Baker, Victor (CS&amp;TD Business, Assets &amp; International)</cp:lastModifiedBy>
  <cp:revision>2</cp:revision>
  <cp:lastPrinted>2018-04-11T09:42:00Z</cp:lastPrinted>
  <dcterms:created xsi:type="dcterms:W3CDTF">2022-06-22T16:14:00Z</dcterms:created>
  <dcterms:modified xsi:type="dcterms:W3CDTF">2022-06-22T16:14:00Z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2022-04-20T12:52:29Z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61167695-c536-4724-83b5-d108e0eee21a</vt:lpwstr>
  </property>
  <property fmtid="{D5CDD505-2E9C-101B-9397-08002B2CF9AE}" pid="8" name="MSIP_Label_f9af038e-07b4-4369-a678-c835687cb272_ContentBits">
    <vt:lpwstr>2</vt:lpwstr>
  </property>
</Properties>
</file>