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917A7" w14:textId="77777777" w:rsidR="00BC3902" w:rsidRPr="000D2EE7" w:rsidRDefault="00BC3902" w:rsidP="003728FB">
      <w:pPr>
        <w:pStyle w:val="NoSpacing"/>
        <w:jc w:val="center"/>
        <w:rPr>
          <w:rFonts w:ascii="Apple Chancery" w:hAnsi="Apple Chancery" w:cs="Apple Chancery"/>
          <w:sz w:val="10"/>
          <w:szCs w:val="10"/>
          <w:lang w:val="en-US"/>
        </w:rPr>
      </w:pPr>
    </w:p>
    <w:p w14:paraId="647A838F" w14:textId="737DD674" w:rsidR="003728FB" w:rsidRPr="003728FB" w:rsidRDefault="009E2764" w:rsidP="003728FB">
      <w:pPr>
        <w:pStyle w:val="NoSpacing"/>
        <w:jc w:val="center"/>
        <w:rPr>
          <w:rFonts w:ascii="Apple Chancery" w:hAnsi="Apple Chancery" w:cs="Apple Chancery"/>
          <w:sz w:val="42"/>
          <w:szCs w:val="42"/>
          <w:lang w:val="en-US"/>
        </w:rPr>
      </w:pPr>
      <w:r w:rsidRPr="003728FB">
        <w:rPr>
          <w:rFonts w:ascii="Apple Chancery" w:hAnsi="Apple Chancery" w:cs="Apple Chancery" w:hint="cs"/>
          <w:sz w:val="42"/>
          <w:szCs w:val="42"/>
          <w:lang w:val="en-US"/>
        </w:rPr>
        <w:t>A Tale of Two Ledgers:</w:t>
      </w:r>
    </w:p>
    <w:p w14:paraId="29603943" w14:textId="379A0BB9" w:rsidR="009E2764" w:rsidRDefault="009E2764" w:rsidP="000066BE">
      <w:pPr>
        <w:pStyle w:val="NoSpacing"/>
        <w:spacing w:line="360" w:lineRule="auto"/>
        <w:jc w:val="center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Ethical Dimension</w:t>
      </w:r>
      <w:r w:rsidR="003728FB">
        <w:rPr>
          <w:rFonts w:ascii="Helvetica" w:hAnsi="Helvetica"/>
          <w:lang w:val="en-US"/>
        </w:rPr>
        <w:t xml:space="preserve">s in </w:t>
      </w:r>
      <w:r w:rsidR="0044514B">
        <w:rPr>
          <w:rFonts w:ascii="Helvetica" w:hAnsi="Helvetica"/>
          <w:lang w:val="en-US"/>
        </w:rPr>
        <w:t>the Practice of Keeping Two Sets of Books</w:t>
      </w:r>
    </w:p>
    <w:p w14:paraId="3E49CA9A" w14:textId="603E282A" w:rsidR="003728FB" w:rsidRDefault="003728FB" w:rsidP="000066BE">
      <w:pPr>
        <w:pStyle w:val="NoSpacing"/>
        <w:spacing w:line="360" w:lineRule="auto"/>
        <w:rPr>
          <w:rFonts w:ascii="Helvetica" w:hAnsi="Helvetica"/>
          <w:lang w:val="en-US"/>
        </w:rPr>
      </w:pPr>
    </w:p>
    <w:p w14:paraId="74E6E413" w14:textId="341A5CBB" w:rsidR="00A448F2" w:rsidRDefault="00CB6E8B" w:rsidP="000066BE">
      <w:pPr>
        <w:pStyle w:val="NoSpacing"/>
        <w:spacing w:line="360" w:lineRule="auto"/>
        <w:ind w:firstLine="720"/>
        <w:jc w:val="both"/>
        <w:rPr>
          <w:rFonts w:ascii="Helvetica" w:hAnsi="Helvetica" w:cs="Helvetica"/>
        </w:rPr>
      </w:pPr>
      <w:r>
        <w:rPr>
          <w:rFonts w:ascii="Helvetica" w:hAnsi="Helvetica"/>
          <w:lang w:val="en-US"/>
        </w:rPr>
        <w:t>Tax Gap is ever present in all countries. Tax Gap is the phenomenon where there is</w:t>
      </w:r>
      <w:r w:rsidRPr="00CB6E8B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>discrepancy</w:t>
      </w:r>
      <w:r w:rsidRPr="00CB6E8B">
        <w:rPr>
          <w:rFonts w:ascii="Helvetica" w:hAnsi="Helvetica"/>
          <w:lang w:val="en-US"/>
        </w:rPr>
        <w:t xml:space="preserve"> between total amount of taxes owed to the government versus the amount </w:t>
      </w:r>
      <w:r w:rsidR="00825811">
        <w:rPr>
          <w:rFonts w:ascii="Helvetica" w:hAnsi="Helvetica"/>
          <w:lang w:val="en-US"/>
        </w:rPr>
        <w:t xml:space="preserve">of taxes </w:t>
      </w:r>
      <w:r w:rsidRPr="00CB6E8B">
        <w:rPr>
          <w:rFonts w:ascii="Helvetica" w:hAnsi="Helvetica"/>
          <w:lang w:val="en-US"/>
        </w:rPr>
        <w:t>actually received</w:t>
      </w:r>
      <w:r>
        <w:rPr>
          <w:rFonts w:ascii="Helvetica" w:hAnsi="Helvetica"/>
          <w:lang w:val="en-US"/>
        </w:rPr>
        <w:t xml:space="preserve"> by the government</w:t>
      </w:r>
      <w:r w:rsidRPr="00CB6E8B">
        <w:rPr>
          <w:rFonts w:ascii="Helvetica" w:hAnsi="Helvetica"/>
          <w:lang w:val="en-US"/>
        </w:rPr>
        <w:t>.</w:t>
      </w:r>
      <w:r>
        <w:rPr>
          <w:rStyle w:val="FootnoteReference"/>
          <w:rFonts w:ascii="Helvetica" w:hAnsi="Helvetica"/>
          <w:lang w:val="en-US"/>
        </w:rPr>
        <w:footnoteReference w:id="1"/>
      </w:r>
      <w:r w:rsidRPr="00CB6E8B">
        <w:rPr>
          <w:rFonts w:ascii="Helvetica" w:hAnsi="Helvetica"/>
          <w:lang w:val="en-US"/>
        </w:rPr>
        <w:t xml:space="preserve"> </w:t>
      </w:r>
      <w:r w:rsidR="00C86DCD">
        <w:rPr>
          <w:rFonts w:ascii="Helvetica" w:hAnsi="Helvetica"/>
          <w:lang w:val="en-US"/>
        </w:rPr>
        <w:t>It</w:t>
      </w:r>
      <w:r>
        <w:rPr>
          <w:rFonts w:ascii="Helvetica" w:hAnsi="Helvetica"/>
          <w:lang w:val="en-US"/>
        </w:rPr>
        <w:t xml:space="preserve"> results from</w:t>
      </w:r>
      <w:r>
        <w:rPr>
          <w:rFonts w:ascii="Helvetica" w:hAnsi="Helvetica"/>
          <w:i/>
          <w:iCs/>
          <w:lang w:val="en-US"/>
        </w:rPr>
        <w:t xml:space="preserve"> u</w:t>
      </w:r>
      <w:r w:rsidRPr="00CB6E8B">
        <w:rPr>
          <w:rFonts w:ascii="Helvetica" w:hAnsi="Helvetica"/>
          <w:i/>
          <w:iCs/>
          <w:lang w:val="en-US"/>
        </w:rPr>
        <w:t>nderreporting</w:t>
      </w:r>
      <w:r>
        <w:rPr>
          <w:rFonts w:ascii="Helvetica" w:hAnsi="Helvetica"/>
          <w:lang w:val="en-US"/>
        </w:rPr>
        <w:t xml:space="preserve"> </w:t>
      </w:r>
      <w:r w:rsidR="00C86DCD">
        <w:rPr>
          <w:rFonts w:ascii="Helvetica" w:hAnsi="Helvetica"/>
          <w:lang w:val="en-US"/>
        </w:rPr>
        <w:t>(</w:t>
      </w:r>
      <w:r>
        <w:rPr>
          <w:rFonts w:ascii="Helvetica" w:hAnsi="Helvetica"/>
          <w:lang w:val="en-US"/>
        </w:rPr>
        <w:t xml:space="preserve">when </w:t>
      </w:r>
      <w:r w:rsidRPr="00CB6E8B">
        <w:rPr>
          <w:rFonts w:ascii="Helvetica" w:hAnsi="Helvetica"/>
          <w:lang w:val="en-US"/>
        </w:rPr>
        <w:t>taxpayers report less tha</w:t>
      </w:r>
      <w:bookmarkStart w:id="0" w:name="_GoBack"/>
      <w:bookmarkEnd w:id="0"/>
      <w:r w:rsidRPr="00CB6E8B">
        <w:rPr>
          <w:rFonts w:ascii="Helvetica" w:hAnsi="Helvetica"/>
          <w:lang w:val="en-US"/>
        </w:rPr>
        <w:t>n their full tax liability on their return</w:t>
      </w:r>
      <w:r w:rsidR="00C86DCD">
        <w:rPr>
          <w:rFonts w:ascii="Helvetica" w:hAnsi="Helvetica"/>
          <w:lang w:val="en-US"/>
        </w:rPr>
        <w:t>)</w:t>
      </w:r>
      <w:r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i/>
          <w:iCs/>
          <w:lang w:val="en-US"/>
        </w:rPr>
        <w:t>u</w:t>
      </w:r>
      <w:r w:rsidRPr="00CB6E8B">
        <w:rPr>
          <w:rFonts w:ascii="Helvetica" w:hAnsi="Helvetica"/>
          <w:i/>
          <w:iCs/>
          <w:lang w:val="en-US"/>
        </w:rPr>
        <w:t>nderpayment</w:t>
      </w:r>
      <w:r w:rsidR="00C86DCD">
        <w:rPr>
          <w:rFonts w:ascii="Helvetica" w:hAnsi="Helvetica"/>
          <w:lang w:val="en-US"/>
        </w:rPr>
        <w:t xml:space="preserve"> (</w:t>
      </w:r>
      <w:r>
        <w:rPr>
          <w:rFonts w:ascii="Helvetica" w:hAnsi="Helvetica"/>
          <w:lang w:val="en-US"/>
        </w:rPr>
        <w:t>when t</w:t>
      </w:r>
      <w:r w:rsidRPr="00CB6E8B">
        <w:rPr>
          <w:rFonts w:ascii="Helvetica" w:hAnsi="Helvetica"/>
          <w:lang w:val="en-US"/>
        </w:rPr>
        <w:t>axpayers pay less taxes than owed</w:t>
      </w:r>
      <w:r w:rsidR="00C86DCD">
        <w:rPr>
          <w:rFonts w:ascii="Helvetica" w:hAnsi="Helvetica"/>
          <w:lang w:val="en-US"/>
        </w:rPr>
        <w:t>)</w:t>
      </w:r>
      <w:r>
        <w:rPr>
          <w:rFonts w:ascii="Helvetica" w:hAnsi="Helvetica"/>
          <w:lang w:val="en-US"/>
        </w:rPr>
        <w:t xml:space="preserve"> or </w:t>
      </w:r>
      <w:r>
        <w:rPr>
          <w:rFonts w:ascii="Helvetica" w:hAnsi="Helvetica"/>
          <w:i/>
          <w:iCs/>
          <w:lang w:val="en-US"/>
        </w:rPr>
        <w:t>n</w:t>
      </w:r>
      <w:r w:rsidRPr="00CB6E8B">
        <w:rPr>
          <w:rFonts w:ascii="Helvetica" w:hAnsi="Helvetica"/>
          <w:i/>
          <w:iCs/>
          <w:lang w:val="en-US"/>
        </w:rPr>
        <w:t>on-filing</w:t>
      </w:r>
      <w:r>
        <w:rPr>
          <w:rFonts w:ascii="Helvetica" w:hAnsi="Helvetica"/>
          <w:lang w:val="en-US"/>
        </w:rPr>
        <w:t xml:space="preserve"> </w:t>
      </w:r>
      <w:r w:rsidR="00C86DCD">
        <w:rPr>
          <w:rFonts w:ascii="Helvetica" w:hAnsi="Helvetica"/>
          <w:lang w:val="en-US"/>
        </w:rPr>
        <w:t>(</w:t>
      </w:r>
      <w:r>
        <w:rPr>
          <w:rFonts w:ascii="Helvetica" w:hAnsi="Helvetica"/>
          <w:lang w:val="en-US"/>
        </w:rPr>
        <w:t xml:space="preserve">when </w:t>
      </w:r>
      <w:r w:rsidRPr="00CB6E8B">
        <w:rPr>
          <w:rFonts w:ascii="Helvetica" w:hAnsi="Helvetica"/>
          <w:lang w:val="en-US"/>
        </w:rPr>
        <w:t xml:space="preserve">taxpayers simply </w:t>
      </w:r>
      <w:r>
        <w:rPr>
          <w:rFonts w:ascii="Helvetica" w:hAnsi="Helvetica"/>
          <w:lang w:val="en-US"/>
        </w:rPr>
        <w:t xml:space="preserve">do </w:t>
      </w:r>
      <w:r w:rsidRPr="00CB6E8B">
        <w:rPr>
          <w:rFonts w:ascii="Helvetica" w:hAnsi="Helvetica"/>
          <w:lang w:val="en-US"/>
        </w:rPr>
        <w:t>not file a tax return at all</w:t>
      </w:r>
      <w:r w:rsidR="00C86DCD">
        <w:rPr>
          <w:rFonts w:ascii="Helvetica" w:hAnsi="Helvetica"/>
          <w:lang w:val="en-US"/>
        </w:rPr>
        <w:t>)</w:t>
      </w:r>
      <w:r>
        <w:rPr>
          <w:rFonts w:ascii="Helvetica" w:hAnsi="Helvetica"/>
          <w:lang w:val="en-US"/>
        </w:rPr>
        <w:t>. In a study</w:t>
      </w:r>
      <w:r>
        <w:rPr>
          <w:rStyle w:val="FootnoteReference"/>
          <w:rFonts w:ascii="Helvetica" w:hAnsi="Helvetica"/>
          <w:lang w:val="en-US"/>
        </w:rPr>
        <w:footnoteReference w:id="2"/>
      </w:r>
      <w:r>
        <w:rPr>
          <w:rFonts w:ascii="Helvetica" w:hAnsi="Helvetica"/>
          <w:lang w:val="en-US"/>
        </w:rPr>
        <w:t xml:space="preserve"> </w:t>
      </w:r>
      <w:r w:rsidRPr="00546462">
        <w:rPr>
          <w:rFonts w:ascii="Helvetica" w:hAnsi="Helvetica" w:cs="Helvetica"/>
        </w:rPr>
        <w:t xml:space="preserve">carried out on </w:t>
      </w:r>
      <w:r w:rsidR="00EA0F35">
        <w:rPr>
          <w:rFonts w:ascii="Helvetica" w:hAnsi="Helvetica" w:cs="Helvetica"/>
        </w:rPr>
        <w:t>t</w:t>
      </w:r>
      <w:r>
        <w:rPr>
          <w:rFonts w:ascii="Helvetica" w:hAnsi="Helvetica" w:cs="Helvetica"/>
        </w:rPr>
        <w:t xml:space="preserve">ax </w:t>
      </w:r>
      <w:r w:rsidR="00EA0F35">
        <w:rPr>
          <w:rFonts w:ascii="Helvetica" w:hAnsi="Helvetica" w:cs="Helvetica"/>
        </w:rPr>
        <w:t>g</w:t>
      </w:r>
      <w:r>
        <w:rPr>
          <w:rFonts w:ascii="Helvetica" w:hAnsi="Helvetica" w:cs="Helvetica"/>
        </w:rPr>
        <w:t xml:space="preserve">aps in </w:t>
      </w:r>
      <w:r w:rsidRPr="00546462">
        <w:rPr>
          <w:rFonts w:ascii="Helvetica" w:hAnsi="Helvetica" w:cs="Helvetica"/>
        </w:rPr>
        <w:t>35 selected countr</w:t>
      </w:r>
      <w:r>
        <w:rPr>
          <w:rFonts w:ascii="Helvetica" w:hAnsi="Helvetica" w:cs="Helvetica"/>
        </w:rPr>
        <w:t xml:space="preserve">ies, it was found that </w:t>
      </w:r>
      <w:r w:rsidR="001344C3">
        <w:rPr>
          <w:rFonts w:ascii="Helvetica" w:hAnsi="Helvetica" w:cs="Helvetica"/>
        </w:rPr>
        <w:t xml:space="preserve">eighty </w:t>
      </w:r>
      <w:r w:rsidR="00A40512">
        <w:rPr>
          <w:rFonts w:ascii="Helvetica" w:hAnsi="Helvetica" w:cs="Helvetica"/>
        </w:rPr>
        <w:t xml:space="preserve">percent (80%) </w:t>
      </w:r>
      <w:r w:rsidR="00C86DCD">
        <w:rPr>
          <w:rFonts w:ascii="Helvetica" w:hAnsi="Helvetica" w:cs="Helvetica"/>
        </w:rPr>
        <w:t xml:space="preserve">of tax gaps </w:t>
      </w:r>
      <w:r w:rsidR="00A40512" w:rsidRPr="00BF36A0">
        <w:rPr>
          <w:rFonts w:ascii="Helvetica" w:hAnsi="Helvetica" w:cs="Helvetica"/>
        </w:rPr>
        <w:t>comes from taxpayers who either underreport income or overstate expenses.</w:t>
      </w:r>
      <w:r w:rsidR="00825811">
        <w:rPr>
          <w:rFonts w:ascii="Helvetica" w:hAnsi="Helvetica" w:cs="Helvetica"/>
        </w:rPr>
        <w:t xml:space="preserve"> </w:t>
      </w:r>
    </w:p>
    <w:p w14:paraId="26B9AA24" w14:textId="77777777" w:rsidR="00A448F2" w:rsidRDefault="00A448F2" w:rsidP="000066BE">
      <w:pPr>
        <w:pStyle w:val="NoSpacing"/>
        <w:spacing w:line="360" w:lineRule="auto"/>
        <w:jc w:val="both"/>
        <w:rPr>
          <w:rFonts w:ascii="Helvetica" w:hAnsi="Helvetica" w:cs="Helvetica"/>
        </w:rPr>
      </w:pPr>
    </w:p>
    <w:p w14:paraId="6654CC1E" w14:textId="1259448E" w:rsidR="00432C19" w:rsidRPr="001A73D8" w:rsidRDefault="001313F2" w:rsidP="000066BE">
      <w:pPr>
        <w:pStyle w:val="NoSpacing"/>
        <w:spacing w:line="360" w:lineRule="auto"/>
        <w:ind w:firstLine="7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These </w:t>
      </w:r>
      <w:r w:rsidR="00D14BC0">
        <w:rPr>
          <w:rFonts w:ascii="Helvetica" w:hAnsi="Helvetica" w:cs="Helvetica"/>
        </w:rPr>
        <w:t>“</w:t>
      </w:r>
      <w:r w:rsidR="00C86DCD">
        <w:rPr>
          <w:rFonts w:ascii="Helvetica" w:hAnsi="Helvetica" w:cs="Helvetica"/>
        </w:rPr>
        <w:t>misstatements</w:t>
      </w:r>
      <w:r w:rsidR="00D14BC0">
        <w:rPr>
          <w:rFonts w:ascii="Helvetica" w:hAnsi="Helvetica" w:cs="Helvetica"/>
        </w:rPr>
        <w:t xml:space="preserve">” </w:t>
      </w:r>
      <w:r w:rsidR="00A448F2">
        <w:rPr>
          <w:rFonts w:ascii="Helvetica" w:hAnsi="Helvetica" w:cs="Helvetica"/>
        </w:rPr>
        <w:t xml:space="preserve">in tax returns </w:t>
      </w:r>
      <w:r w:rsidR="00D14BC0">
        <w:rPr>
          <w:rFonts w:ascii="Helvetica" w:hAnsi="Helvetica" w:cs="Helvetica"/>
        </w:rPr>
        <w:t xml:space="preserve">are </w:t>
      </w:r>
      <w:r w:rsidR="00A448F2">
        <w:rPr>
          <w:rFonts w:ascii="Helvetica" w:hAnsi="Helvetica" w:cs="Helvetica"/>
        </w:rPr>
        <w:t>based o</w:t>
      </w:r>
      <w:r w:rsidR="00D14BC0">
        <w:rPr>
          <w:rFonts w:ascii="Helvetica" w:hAnsi="Helvetica" w:cs="Helvetica"/>
        </w:rPr>
        <w:t>n financial records of the taxpayer</w:t>
      </w:r>
      <w:r>
        <w:rPr>
          <w:rFonts w:ascii="Helvetica" w:hAnsi="Helvetica" w:cs="Helvetica"/>
        </w:rPr>
        <w:t xml:space="preserve"> which are created for taxation purposes</w:t>
      </w:r>
      <w:r w:rsidR="001A73D8">
        <w:rPr>
          <w:rFonts w:ascii="Helvetica" w:hAnsi="Helvetica" w:cs="Helvetica"/>
        </w:rPr>
        <w:t>.</w:t>
      </w:r>
      <w:r w:rsidR="00C86DCD">
        <w:rPr>
          <w:rFonts w:ascii="Helvetica" w:hAnsi="Helvetica" w:cs="Helvetica"/>
        </w:rPr>
        <w:t xml:space="preserve"> </w:t>
      </w:r>
      <w:r w:rsidR="002F0BDE">
        <w:rPr>
          <w:rFonts w:ascii="Helvetica" w:hAnsi="Helvetica" w:cs="Helvetica"/>
        </w:rPr>
        <w:t>T</w:t>
      </w:r>
      <w:r w:rsidR="001A73D8">
        <w:rPr>
          <w:rFonts w:ascii="Helvetica" w:hAnsi="Helvetica" w:cs="Helvetica"/>
        </w:rPr>
        <w:t>hese records</w:t>
      </w:r>
      <w:r w:rsidR="002F0BDE">
        <w:rPr>
          <w:rFonts w:ascii="Helvetica" w:hAnsi="Helvetica" w:cs="Helvetica"/>
        </w:rPr>
        <w:t>, however,</w:t>
      </w:r>
      <w:r w:rsidR="001A73D8">
        <w:rPr>
          <w:rFonts w:ascii="Helvetica" w:hAnsi="Helvetica" w:cs="Helvetica"/>
        </w:rPr>
        <w:t xml:space="preserve"> may not be “pleasing” to the eyes of an investor</w:t>
      </w:r>
      <w:r w:rsidR="00C86DCD">
        <w:rPr>
          <w:rFonts w:ascii="Helvetica" w:hAnsi="Helvetica" w:cs="Helvetica"/>
        </w:rPr>
        <w:t xml:space="preserve"> or </w:t>
      </w:r>
      <w:r w:rsidR="002F0BDE">
        <w:rPr>
          <w:rFonts w:ascii="Helvetica" w:hAnsi="Helvetica" w:cs="Helvetica"/>
        </w:rPr>
        <w:t>may not</w:t>
      </w:r>
      <w:r w:rsidR="00C86DCD">
        <w:rPr>
          <w:rFonts w:ascii="Helvetica" w:hAnsi="Helvetica" w:cs="Helvetica"/>
        </w:rPr>
        <w:t xml:space="preserve"> accurately reflect the true </w:t>
      </w:r>
      <w:r w:rsidR="00A448F2">
        <w:rPr>
          <w:rFonts w:ascii="Helvetica" w:hAnsi="Helvetica" w:cs="Helvetica"/>
        </w:rPr>
        <w:t>status of the company</w:t>
      </w:r>
      <w:r w:rsidR="001A73D8">
        <w:rPr>
          <w:rFonts w:ascii="Helvetica" w:hAnsi="Helvetica" w:cs="Helvetica"/>
        </w:rPr>
        <w:t xml:space="preserve">. Hence, another set of financial records is prepared. </w:t>
      </w:r>
    </w:p>
    <w:p w14:paraId="6912D667" w14:textId="77777777" w:rsidR="00CE3EDC" w:rsidRDefault="00CE3EDC" w:rsidP="000066BE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31E5696C" w14:textId="4A910873" w:rsidR="00CE3EDC" w:rsidRDefault="001A73D8" w:rsidP="000066BE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This all-too-</w:t>
      </w:r>
      <w:r w:rsidR="00C86DCD">
        <w:rPr>
          <w:rFonts w:ascii="Helvetica" w:hAnsi="Helvetica"/>
          <w:lang w:val="en-US"/>
        </w:rPr>
        <w:t>common</w:t>
      </w:r>
      <w:r>
        <w:rPr>
          <w:rFonts w:ascii="Helvetica" w:hAnsi="Helvetica"/>
          <w:lang w:val="en-US"/>
        </w:rPr>
        <w:t xml:space="preserve"> situation </w:t>
      </w:r>
      <w:r w:rsidR="00C86DCD">
        <w:rPr>
          <w:rFonts w:ascii="Helvetica" w:hAnsi="Helvetica"/>
          <w:lang w:val="en-US"/>
        </w:rPr>
        <w:t xml:space="preserve">is just one </w:t>
      </w:r>
      <w:r w:rsidR="00A448F2">
        <w:rPr>
          <w:rFonts w:ascii="Helvetica" w:hAnsi="Helvetica"/>
          <w:lang w:val="en-US"/>
        </w:rPr>
        <w:t xml:space="preserve">regrettable effect of </w:t>
      </w:r>
      <w:r w:rsidR="00C86DCD">
        <w:rPr>
          <w:rFonts w:ascii="Helvetica" w:hAnsi="Helvetica"/>
          <w:lang w:val="en-US"/>
        </w:rPr>
        <w:t xml:space="preserve">the </w:t>
      </w:r>
      <w:r w:rsidR="00CB1D3D">
        <w:rPr>
          <w:rFonts w:ascii="Helvetica" w:hAnsi="Helvetica"/>
          <w:lang w:val="en-US"/>
        </w:rPr>
        <w:t xml:space="preserve">common practice </w:t>
      </w:r>
      <w:r w:rsidR="001313F2">
        <w:rPr>
          <w:rFonts w:ascii="Helvetica" w:hAnsi="Helvetica"/>
          <w:lang w:val="en-US"/>
        </w:rPr>
        <w:t xml:space="preserve">of keeping two sets of </w:t>
      </w:r>
      <w:r w:rsidR="00CB1D3D">
        <w:rPr>
          <w:rFonts w:ascii="Helvetica" w:hAnsi="Helvetica"/>
          <w:lang w:val="en-US"/>
        </w:rPr>
        <w:t xml:space="preserve">financial </w:t>
      </w:r>
      <w:r w:rsidR="001313F2">
        <w:rPr>
          <w:rFonts w:ascii="Helvetica" w:hAnsi="Helvetica"/>
          <w:lang w:val="en-US"/>
        </w:rPr>
        <w:t xml:space="preserve">records, </w:t>
      </w:r>
      <w:r w:rsidR="00145774">
        <w:rPr>
          <w:rFonts w:ascii="Helvetica" w:hAnsi="Helvetica"/>
          <w:lang w:val="en-US"/>
        </w:rPr>
        <w:t xml:space="preserve">like </w:t>
      </w:r>
      <w:r w:rsidR="001313F2">
        <w:rPr>
          <w:rFonts w:ascii="Helvetica" w:hAnsi="Helvetica"/>
          <w:lang w:val="en-US"/>
        </w:rPr>
        <w:t>one for internal purposes and the other for taxation purposes.</w:t>
      </w:r>
      <w:r w:rsidR="00EF7DF7">
        <w:rPr>
          <w:rFonts w:ascii="Helvetica" w:hAnsi="Helvetica"/>
          <w:lang w:val="en-US"/>
        </w:rPr>
        <w:t xml:space="preserve"> </w:t>
      </w:r>
      <w:r w:rsidR="00E47A1F">
        <w:rPr>
          <w:rFonts w:ascii="Helvetica" w:hAnsi="Helvetica"/>
          <w:lang w:val="en-US"/>
        </w:rPr>
        <w:t>Surprisingly (or not), t</w:t>
      </w:r>
      <w:r w:rsidR="009E713F">
        <w:rPr>
          <w:rFonts w:ascii="Helvetica" w:hAnsi="Helvetica"/>
          <w:lang w:val="en-US"/>
        </w:rPr>
        <w:t xml:space="preserve">he practice is not illegal </w:t>
      </w:r>
      <w:r w:rsidR="009E713F">
        <w:rPr>
          <w:rFonts w:ascii="Helvetica" w:hAnsi="Helvetica"/>
          <w:i/>
          <w:iCs/>
          <w:lang w:val="en-US"/>
        </w:rPr>
        <w:t xml:space="preserve">per se. </w:t>
      </w:r>
      <w:r w:rsidR="00CE3EDC" w:rsidRPr="00CE3EDC">
        <w:rPr>
          <w:rFonts w:ascii="Helvetica" w:hAnsi="Helvetica"/>
          <w:lang w:val="en-US"/>
        </w:rPr>
        <w:t xml:space="preserve">A number of </w:t>
      </w:r>
      <w:r w:rsidR="00CE3EDC">
        <w:rPr>
          <w:rFonts w:ascii="Helvetica" w:hAnsi="Helvetica"/>
          <w:lang w:val="en-US"/>
        </w:rPr>
        <w:t>companies, including those publicly listed, keep t</w:t>
      </w:r>
      <w:r w:rsidR="00CE3EDC" w:rsidRPr="00CE3EDC">
        <w:rPr>
          <w:rFonts w:ascii="Helvetica" w:hAnsi="Helvetica"/>
          <w:lang w:val="en-US"/>
        </w:rPr>
        <w:t xml:space="preserve">wo sets of books </w:t>
      </w:r>
      <w:r w:rsidR="00CE3EDC">
        <w:rPr>
          <w:rFonts w:ascii="Helvetica" w:hAnsi="Helvetica"/>
          <w:lang w:val="en-US"/>
        </w:rPr>
        <w:t xml:space="preserve">to </w:t>
      </w:r>
      <w:r w:rsidR="00CE3EDC" w:rsidRPr="00CE3EDC">
        <w:rPr>
          <w:rFonts w:ascii="Helvetica" w:hAnsi="Helvetica"/>
          <w:lang w:val="en-US"/>
        </w:rPr>
        <w:t xml:space="preserve">prepare the financial statements for the Securities and Exchange Commission </w:t>
      </w:r>
      <w:r w:rsidR="00CE3EDC">
        <w:rPr>
          <w:rFonts w:ascii="Helvetica" w:hAnsi="Helvetica"/>
          <w:lang w:val="en-US"/>
        </w:rPr>
        <w:t xml:space="preserve">or </w:t>
      </w:r>
      <w:r w:rsidR="00CE3EDC" w:rsidRPr="00CE3EDC">
        <w:rPr>
          <w:rFonts w:ascii="Helvetica" w:hAnsi="Helvetica"/>
          <w:lang w:val="en-US"/>
        </w:rPr>
        <w:t xml:space="preserve">investors, and </w:t>
      </w:r>
      <w:r w:rsidR="00A448F2">
        <w:rPr>
          <w:rFonts w:ascii="Helvetica" w:hAnsi="Helvetica"/>
          <w:lang w:val="en-US"/>
        </w:rPr>
        <w:t xml:space="preserve">one </w:t>
      </w:r>
      <w:r w:rsidR="00CE3EDC">
        <w:rPr>
          <w:rFonts w:ascii="Helvetica" w:hAnsi="Helvetica"/>
          <w:lang w:val="en-US"/>
        </w:rPr>
        <w:t>for the Bureau of Internal Revenue</w:t>
      </w:r>
      <w:r w:rsidR="00CE3EDC" w:rsidRPr="00CE3EDC">
        <w:rPr>
          <w:rFonts w:ascii="Helvetica" w:hAnsi="Helvetica"/>
          <w:lang w:val="en-US"/>
        </w:rPr>
        <w:t xml:space="preserve">. </w:t>
      </w:r>
      <w:r w:rsidR="00EF4A1C">
        <w:rPr>
          <w:rFonts w:ascii="Helvetica" w:hAnsi="Helvetica"/>
          <w:lang w:val="en-US"/>
        </w:rPr>
        <w:t>P</w:t>
      </w:r>
      <w:r w:rsidR="00A448F2">
        <w:rPr>
          <w:rFonts w:ascii="Helvetica" w:hAnsi="Helvetica"/>
          <w:lang w:val="en-US"/>
        </w:rPr>
        <w:t>roblem</w:t>
      </w:r>
      <w:r w:rsidR="00EF4A1C">
        <w:rPr>
          <w:rFonts w:ascii="Helvetica" w:hAnsi="Helvetica"/>
          <w:lang w:val="en-US"/>
        </w:rPr>
        <w:t>s</w:t>
      </w:r>
      <w:r w:rsidR="00A448F2">
        <w:rPr>
          <w:rFonts w:ascii="Helvetica" w:hAnsi="Helvetica"/>
          <w:lang w:val="en-US"/>
        </w:rPr>
        <w:t xml:space="preserve"> arise </w:t>
      </w:r>
      <w:r w:rsidR="00EF4A1C">
        <w:rPr>
          <w:rFonts w:ascii="Helvetica" w:hAnsi="Helvetica"/>
          <w:lang w:val="en-US"/>
        </w:rPr>
        <w:t xml:space="preserve">– </w:t>
      </w:r>
      <w:r w:rsidR="00B26D15">
        <w:rPr>
          <w:rFonts w:ascii="Helvetica" w:hAnsi="Helvetica"/>
          <w:lang w:val="en-US"/>
        </w:rPr>
        <w:t>and</w:t>
      </w:r>
      <w:r w:rsidR="00EF4A1C">
        <w:rPr>
          <w:rFonts w:ascii="Helvetica" w:hAnsi="Helvetica"/>
          <w:lang w:val="en-US"/>
        </w:rPr>
        <w:t xml:space="preserve"> ethical </w:t>
      </w:r>
      <w:r w:rsidR="00145774">
        <w:rPr>
          <w:rFonts w:ascii="Helvetica" w:hAnsi="Helvetica"/>
          <w:lang w:val="en-US"/>
        </w:rPr>
        <w:t>questions</w:t>
      </w:r>
      <w:r w:rsidR="00EF4A1C">
        <w:rPr>
          <w:rFonts w:ascii="Helvetica" w:hAnsi="Helvetica"/>
          <w:lang w:val="en-US"/>
        </w:rPr>
        <w:t xml:space="preserve"> abound - </w:t>
      </w:r>
      <w:r w:rsidR="00A448F2">
        <w:rPr>
          <w:rFonts w:ascii="Helvetica" w:hAnsi="Helvetica"/>
          <w:lang w:val="en-US"/>
        </w:rPr>
        <w:t>when the books are substantially different</w:t>
      </w:r>
      <w:r w:rsidR="00EF4A1C">
        <w:rPr>
          <w:rFonts w:ascii="Helvetica" w:hAnsi="Helvetica"/>
          <w:lang w:val="en-US"/>
        </w:rPr>
        <w:t>, mainly</w:t>
      </w:r>
      <w:r w:rsidR="00A448F2">
        <w:rPr>
          <w:rFonts w:ascii="Helvetica" w:hAnsi="Helvetica"/>
          <w:lang w:val="en-US"/>
        </w:rPr>
        <w:t xml:space="preserve"> due to their</w:t>
      </w:r>
      <w:r w:rsidR="00CE3EDC">
        <w:rPr>
          <w:rFonts w:ascii="Helvetica" w:hAnsi="Helvetica"/>
          <w:lang w:val="en-US"/>
        </w:rPr>
        <w:t xml:space="preserve"> respective </w:t>
      </w:r>
      <w:r w:rsidR="00A448F2">
        <w:rPr>
          <w:rFonts w:ascii="Helvetica" w:hAnsi="Helvetica"/>
          <w:lang w:val="en-US"/>
        </w:rPr>
        <w:t xml:space="preserve">differing </w:t>
      </w:r>
      <w:r w:rsidR="00CE3EDC">
        <w:rPr>
          <w:rFonts w:ascii="Helvetica" w:hAnsi="Helvetica"/>
          <w:lang w:val="en-US"/>
        </w:rPr>
        <w:t>goals– one aims to maximize income (</w:t>
      </w:r>
      <w:proofErr w:type="gramStart"/>
      <w:r w:rsidR="00C0671C">
        <w:rPr>
          <w:rFonts w:ascii="Helvetica" w:hAnsi="Helvetica"/>
          <w:lang w:val="en-US"/>
        </w:rPr>
        <w:t>especially</w:t>
      </w:r>
      <w:proofErr w:type="gramEnd"/>
      <w:r w:rsidR="00CE3EDC">
        <w:rPr>
          <w:rFonts w:ascii="Helvetica" w:hAnsi="Helvetica"/>
          <w:lang w:val="en-US"/>
        </w:rPr>
        <w:t xml:space="preserve"> to entice investors</w:t>
      </w:r>
      <w:r w:rsidR="00EF4A1C">
        <w:rPr>
          <w:rFonts w:ascii="Helvetica" w:hAnsi="Helvetica"/>
          <w:lang w:val="en-US"/>
        </w:rPr>
        <w:t xml:space="preserve"> or at least reflect the status of the company fairly</w:t>
      </w:r>
      <w:r w:rsidR="00B26D15">
        <w:rPr>
          <w:rFonts w:ascii="Helvetica" w:hAnsi="Helvetica"/>
          <w:lang w:val="en-US"/>
        </w:rPr>
        <w:t>)</w:t>
      </w:r>
      <w:r w:rsidR="00CE3EDC">
        <w:rPr>
          <w:rFonts w:ascii="Helvetica" w:hAnsi="Helvetica"/>
          <w:lang w:val="en-US"/>
        </w:rPr>
        <w:t xml:space="preserve"> while the other seeks to minimize taxable income for lesser taxes.</w:t>
      </w:r>
    </w:p>
    <w:p w14:paraId="23BC416D" w14:textId="77777777" w:rsidR="00CE3EDC" w:rsidRDefault="00CE3EDC" w:rsidP="000066BE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45664644" w14:textId="247347D0" w:rsidR="000B4DB5" w:rsidRDefault="00DA43B6" w:rsidP="000066BE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Applying</w:t>
      </w:r>
      <w:r w:rsidR="00EC0CEB">
        <w:rPr>
          <w:rFonts w:ascii="Helvetica" w:hAnsi="Helvetica"/>
          <w:lang w:val="en-US"/>
        </w:rPr>
        <w:t xml:space="preserve"> an ethical spectrum on this practice</w:t>
      </w:r>
      <w:r>
        <w:rPr>
          <w:rFonts w:ascii="Helvetica" w:hAnsi="Helvetica"/>
          <w:lang w:val="en-US"/>
        </w:rPr>
        <w:t xml:space="preserve">, where one end is ethically acceptable and the other end is despicable (read: illegal), </w:t>
      </w:r>
      <w:r w:rsidR="000B4DB5">
        <w:rPr>
          <w:rFonts w:ascii="Helvetica" w:hAnsi="Helvetica"/>
          <w:lang w:val="en-US"/>
        </w:rPr>
        <w:t xml:space="preserve">the farthest end would be this: when the practice of keeping two books is used to perpetuate FRAUD. </w:t>
      </w:r>
      <w:r w:rsidR="00624ED8">
        <w:rPr>
          <w:rFonts w:ascii="Helvetica" w:hAnsi="Helvetica"/>
          <w:lang w:val="en-US"/>
        </w:rPr>
        <w:t>This may come in many forms. One</w:t>
      </w:r>
      <w:r w:rsidR="00A11244">
        <w:rPr>
          <w:rFonts w:ascii="Helvetica" w:hAnsi="Helvetica"/>
          <w:lang w:val="en-US"/>
        </w:rPr>
        <w:t xml:space="preserve"> form</w:t>
      </w:r>
      <w:r w:rsidR="00624ED8">
        <w:rPr>
          <w:rFonts w:ascii="Helvetica" w:hAnsi="Helvetica"/>
          <w:lang w:val="en-US"/>
        </w:rPr>
        <w:t xml:space="preserve">, and perhaps the more common, is </w:t>
      </w:r>
      <w:r w:rsidR="00932E27">
        <w:rPr>
          <w:rFonts w:ascii="Helvetica" w:hAnsi="Helvetica"/>
          <w:lang w:val="en-US"/>
        </w:rPr>
        <w:t>fraud against the government, as manifested by the aforementioned underreporting or underpayment which result</w:t>
      </w:r>
      <w:r w:rsidR="00D34E03">
        <w:rPr>
          <w:rFonts w:ascii="Helvetica" w:hAnsi="Helvetica"/>
          <w:lang w:val="en-US"/>
        </w:rPr>
        <w:t xml:space="preserve">s </w:t>
      </w:r>
      <w:r w:rsidR="00932E27">
        <w:rPr>
          <w:rFonts w:ascii="Helvetica" w:hAnsi="Helvetica"/>
          <w:lang w:val="en-US"/>
        </w:rPr>
        <w:t xml:space="preserve">to tax gaps. </w:t>
      </w:r>
      <w:r w:rsidR="007D104D">
        <w:rPr>
          <w:rFonts w:ascii="Helvetica" w:hAnsi="Helvetica"/>
          <w:lang w:val="en-US"/>
        </w:rPr>
        <w:t xml:space="preserve">If we abide by the principle that “taxation is the lifeblood of the country”, then </w:t>
      </w:r>
      <w:r w:rsidR="007D104D">
        <w:rPr>
          <w:rFonts w:ascii="Helvetica" w:hAnsi="Helvetica"/>
          <w:lang w:val="en-US"/>
        </w:rPr>
        <w:lastRenderedPageBreak/>
        <w:t xml:space="preserve">tax evasion is draining the country and its citizens </w:t>
      </w:r>
      <w:r w:rsidR="00907FA6">
        <w:rPr>
          <w:rFonts w:ascii="Helvetica" w:hAnsi="Helvetica"/>
          <w:lang w:val="en-US"/>
        </w:rPr>
        <w:t>of</w:t>
      </w:r>
      <w:r w:rsidR="007D104D">
        <w:rPr>
          <w:rFonts w:ascii="Helvetica" w:hAnsi="Helvetica"/>
          <w:lang w:val="en-US"/>
        </w:rPr>
        <w:t xml:space="preserve"> life as it affects </w:t>
      </w:r>
      <w:r w:rsidR="00CD05AC">
        <w:rPr>
          <w:rFonts w:ascii="Helvetica" w:hAnsi="Helvetica"/>
          <w:lang w:val="en-US"/>
        </w:rPr>
        <w:t>the government</w:t>
      </w:r>
      <w:r w:rsidR="00D34E03">
        <w:rPr>
          <w:rFonts w:ascii="Helvetica" w:hAnsi="Helvetica"/>
          <w:lang w:val="en-US"/>
        </w:rPr>
        <w:t>’</w:t>
      </w:r>
      <w:r w:rsidR="00CD05AC">
        <w:rPr>
          <w:rFonts w:ascii="Helvetica" w:hAnsi="Helvetica"/>
          <w:lang w:val="en-US"/>
        </w:rPr>
        <w:t>s delivery of pub</w:t>
      </w:r>
      <w:r w:rsidR="00D34E03">
        <w:rPr>
          <w:rFonts w:ascii="Helvetica" w:hAnsi="Helvetica"/>
          <w:lang w:val="en-US"/>
        </w:rPr>
        <w:t>l</w:t>
      </w:r>
      <w:r w:rsidR="00CD05AC">
        <w:rPr>
          <w:rFonts w:ascii="Helvetica" w:hAnsi="Helvetica"/>
          <w:lang w:val="en-US"/>
        </w:rPr>
        <w:t>ic services.</w:t>
      </w:r>
    </w:p>
    <w:p w14:paraId="1952E303" w14:textId="77777777" w:rsidR="000B4DB5" w:rsidRDefault="000B4DB5" w:rsidP="000066BE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1FB9F9CF" w14:textId="0B54B120" w:rsidR="00D34E03" w:rsidRDefault="00D34E03" w:rsidP="000066BE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Another form of FRAUD which may be facilitated by the practice of keeping two sets of books is fraud against the investors</w:t>
      </w:r>
      <w:r w:rsidR="00907FA6">
        <w:rPr>
          <w:rFonts w:ascii="Helvetica" w:hAnsi="Helvetica"/>
          <w:lang w:val="en-US"/>
        </w:rPr>
        <w:t xml:space="preserve"> and other stakeholders</w:t>
      </w:r>
      <w:r>
        <w:rPr>
          <w:rFonts w:ascii="Helvetica" w:hAnsi="Helvetica"/>
          <w:lang w:val="en-US"/>
        </w:rPr>
        <w:t>. One set of books may be prepared to aesthetically present to investors a healthy firm, while hiding the “real” face of the company’s financial status.</w:t>
      </w:r>
    </w:p>
    <w:p w14:paraId="777971C1" w14:textId="77777777" w:rsidR="00D34E03" w:rsidRDefault="00D34E03" w:rsidP="000066BE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6CC278EC" w14:textId="19F5FC9B" w:rsidR="00AE51AD" w:rsidRDefault="00D34E03" w:rsidP="000066BE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As with </w:t>
      </w:r>
      <w:r w:rsidR="00531752">
        <w:rPr>
          <w:rFonts w:ascii="Helvetica" w:hAnsi="Helvetica"/>
          <w:lang w:val="en-US"/>
        </w:rPr>
        <w:t>m</w:t>
      </w:r>
      <w:r>
        <w:rPr>
          <w:rFonts w:ascii="Helvetica" w:hAnsi="Helvetica"/>
          <w:lang w:val="en-US"/>
        </w:rPr>
        <w:t>any ethical problem</w:t>
      </w:r>
      <w:r w:rsidR="00531752">
        <w:rPr>
          <w:rFonts w:ascii="Helvetica" w:hAnsi="Helvetica"/>
          <w:lang w:val="en-US"/>
        </w:rPr>
        <w:t>s</w:t>
      </w:r>
      <w:r>
        <w:rPr>
          <w:rFonts w:ascii="Helvetica" w:hAnsi="Helvetica"/>
          <w:lang w:val="en-US"/>
        </w:rPr>
        <w:t xml:space="preserve">, </w:t>
      </w:r>
      <w:r w:rsidR="00531752">
        <w:rPr>
          <w:rFonts w:ascii="Helvetica" w:hAnsi="Helvetica"/>
          <w:lang w:val="en-US"/>
        </w:rPr>
        <w:t>most</w:t>
      </w:r>
      <w:r w:rsidR="00DD0B0B">
        <w:rPr>
          <w:rFonts w:ascii="Helvetica" w:hAnsi="Helvetica"/>
          <w:lang w:val="en-US"/>
        </w:rPr>
        <w:t xml:space="preserve"> controversies </w:t>
      </w:r>
      <w:r w:rsidR="002F4FCB">
        <w:rPr>
          <w:rFonts w:ascii="Helvetica" w:hAnsi="Helvetica"/>
          <w:lang w:val="en-US"/>
        </w:rPr>
        <w:t xml:space="preserve">lie </w:t>
      </w:r>
      <w:r w:rsidR="00531752">
        <w:rPr>
          <w:rFonts w:ascii="Helvetica" w:hAnsi="Helvetica"/>
          <w:lang w:val="en-US"/>
        </w:rPr>
        <w:t xml:space="preserve">not in deliberate acts, but </w:t>
      </w:r>
      <w:r w:rsidR="002F4FCB">
        <w:rPr>
          <w:rFonts w:ascii="Helvetica" w:hAnsi="Helvetica"/>
          <w:lang w:val="en-US"/>
        </w:rPr>
        <w:t>in gray areas</w:t>
      </w:r>
      <w:r w:rsidR="00531752">
        <w:rPr>
          <w:rFonts w:ascii="Helvetica" w:hAnsi="Helvetica"/>
          <w:lang w:val="en-US"/>
        </w:rPr>
        <w:t xml:space="preserve"> where the individual is not even aware of the repercussions of his or her actions</w:t>
      </w:r>
      <w:r w:rsidR="002F4FCB">
        <w:rPr>
          <w:rFonts w:ascii="Helvetica" w:hAnsi="Helvetica"/>
          <w:lang w:val="en-US"/>
        </w:rPr>
        <w:t xml:space="preserve">. </w:t>
      </w:r>
      <w:r w:rsidR="00993D7C">
        <w:rPr>
          <w:rFonts w:ascii="Helvetica" w:hAnsi="Helvetica"/>
          <w:lang w:val="en-US"/>
        </w:rPr>
        <w:t xml:space="preserve">Many </w:t>
      </w:r>
      <w:r w:rsidR="000B4DB5">
        <w:rPr>
          <w:rFonts w:ascii="Helvetica" w:hAnsi="Helvetica"/>
          <w:lang w:val="en-US"/>
        </w:rPr>
        <w:t>well-meaning accountant</w:t>
      </w:r>
      <w:r w:rsidR="00993D7C">
        <w:rPr>
          <w:rFonts w:ascii="Helvetica" w:hAnsi="Helvetica"/>
          <w:lang w:val="en-US"/>
        </w:rPr>
        <w:t>s</w:t>
      </w:r>
      <w:r w:rsidR="000B4DB5">
        <w:rPr>
          <w:rFonts w:ascii="Helvetica" w:hAnsi="Helvetica"/>
          <w:lang w:val="en-US"/>
        </w:rPr>
        <w:t xml:space="preserve"> or CPA</w:t>
      </w:r>
      <w:r w:rsidR="00993D7C">
        <w:rPr>
          <w:rFonts w:ascii="Helvetica" w:hAnsi="Helvetica"/>
          <w:lang w:val="en-US"/>
        </w:rPr>
        <w:t>s</w:t>
      </w:r>
      <w:r w:rsidR="000B4DB5">
        <w:rPr>
          <w:rFonts w:ascii="Helvetica" w:hAnsi="Helvetica"/>
          <w:lang w:val="en-US"/>
        </w:rPr>
        <w:t xml:space="preserve"> </w:t>
      </w:r>
      <w:r w:rsidR="00531752" w:rsidRPr="00531752">
        <w:rPr>
          <w:rFonts w:ascii="Helvetica" w:hAnsi="Helvetica"/>
          <w:lang w:val="en-US"/>
        </w:rPr>
        <w:t xml:space="preserve">make changes to the books they are keeping that will never be reflected in the books that </w:t>
      </w:r>
      <w:r w:rsidR="00531752">
        <w:rPr>
          <w:rFonts w:ascii="Helvetica" w:hAnsi="Helvetica"/>
          <w:lang w:val="en-US"/>
        </w:rPr>
        <w:t>are</w:t>
      </w:r>
      <w:r w:rsidR="00531752" w:rsidRPr="00531752">
        <w:rPr>
          <w:rFonts w:ascii="Helvetica" w:hAnsi="Helvetica"/>
          <w:lang w:val="en-US"/>
        </w:rPr>
        <w:t xml:space="preserve"> use</w:t>
      </w:r>
      <w:r w:rsidR="00531752">
        <w:rPr>
          <w:rFonts w:ascii="Helvetica" w:hAnsi="Helvetica"/>
          <w:lang w:val="en-US"/>
        </w:rPr>
        <w:t>d</w:t>
      </w:r>
      <w:r w:rsidR="00531752" w:rsidRPr="00531752">
        <w:rPr>
          <w:rFonts w:ascii="Helvetica" w:hAnsi="Helvetica"/>
          <w:lang w:val="en-US"/>
        </w:rPr>
        <w:t xml:space="preserve"> to manage the company. </w:t>
      </w:r>
      <w:r w:rsidR="007B1DF6">
        <w:rPr>
          <w:rFonts w:ascii="Helvetica" w:hAnsi="Helvetica"/>
          <w:lang w:val="en-US"/>
        </w:rPr>
        <w:t xml:space="preserve">Or, unwittingly through time, the management books and tax books are drifting apart that they have irreconcilable differences. Thus, the firm may </w:t>
      </w:r>
      <w:r w:rsidR="000B4DB5">
        <w:rPr>
          <w:rFonts w:ascii="Helvetica" w:hAnsi="Helvetica"/>
          <w:lang w:val="en-US"/>
        </w:rPr>
        <w:t xml:space="preserve">not even </w:t>
      </w:r>
      <w:r w:rsidR="007E1333">
        <w:rPr>
          <w:rFonts w:ascii="Helvetica" w:hAnsi="Helvetica"/>
          <w:lang w:val="en-US"/>
        </w:rPr>
        <w:t xml:space="preserve">be aware that </w:t>
      </w:r>
      <w:r w:rsidR="004D6685">
        <w:rPr>
          <w:rFonts w:ascii="Helvetica" w:hAnsi="Helvetica"/>
          <w:lang w:val="en-US"/>
        </w:rPr>
        <w:t xml:space="preserve">in their </w:t>
      </w:r>
      <w:r w:rsidR="007E1333">
        <w:rPr>
          <w:rFonts w:ascii="Helvetica" w:hAnsi="Helvetica"/>
          <w:lang w:val="en-US"/>
        </w:rPr>
        <w:t>practice of keeping two sets of books</w:t>
      </w:r>
      <w:r w:rsidR="004D6685">
        <w:rPr>
          <w:rFonts w:ascii="Helvetica" w:hAnsi="Helvetica"/>
          <w:lang w:val="en-US"/>
        </w:rPr>
        <w:t>, they</w:t>
      </w:r>
      <w:r w:rsidR="007E1333">
        <w:rPr>
          <w:rFonts w:ascii="Helvetica" w:hAnsi="Helvetica"/>
          <w:lang w:val="en-US"/>
        </w:rPr>
        <w:t xml:space="preserve"> may be perpetuating fraud or cau</w:t>
      </w:r>
      <w:r w:rsidR="004D6685">
        <w:rPr>
          <w:rFonts w:ascii="Helvetica" w:hAnsi="Helvetica"/>
          <w:lang w:val="en-US"/>
        </w:rPr>
        <w:t>sing</w:t>
      </w:r>
      <w:r w:rsidR="007E1333">
        <w:rPr>
          <w:rFonts w:ascii="Helvetica" w:hAnsi="Helvetica"/>
          <w:lang w:val="en-US"/>
        </w:rPr>
        <w:t xml:space="preserve"> injury to </w:t>
      </w:r>
      <w:r w:rsidR="004D6685">
        <w:rPr>
          <w:rFonts w:ascii="Helvetica" w:hAnsi="Helvetica"/>
          <w:lang w:val="en-US"/>
        </w:rPr>
        <w:t>an</w:t>
      </w:r>
      <w:r w:rsidR="007E1333">
        <w:rPr>
          <w:rFonts w:ascii="Helvetica" w:hAnsi="Helvetica"/>
          <w:lang w:val="en-US"/>
        </w:rPr>
        <w:t xml:space="preserve">other party – government or private. </w:t>
      </w:r>
    </w:p>
    <w:p w14:paraId="273DBC5B" w14:textId="77777777" w:rsidR="00AE51AD" w:rsidRDefault="00AE51AD" w:rsidP="000066BE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293BCC15" w14:textId="6C6A4CA1" w:rsidR="00936D46" w:rsidRDefault="00AE51AD" w:rsidP="000066BE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  <w:r w:rsidRPr="00AE51AD">
        <w:rPr>
          <w:rFonts w:ascii="Helvetica" w:hAnsi="Helvetica"/>
          <w:lang w:val="en-US"/>
        </w:rPr>
        <w:t>At the very least, the practice of keeping two sets of books provide for an opportunity for fraud</w:t>
      </w:r>
      <w:r w:rsidR="005F0D78">
        <w:rPr>
          <w:rFonts w:ascii="Helvetica" w:hAnsi="Helvetica"/>
          <w:lang w:val="en-US"/>
        </w:rPr>
        <w:t xml:space="preserve"> and dishonesty</w:t>
      </w:r>
      <w:r w:rsidRPr="00AE51AD">
        <w:rPr>
          <w:rFonts w:ascii="Helvetica" w:hAnsi="Helvetica"/>
          <w:lang w:val="en-US"/>
        </w:rPr>
        <w:t>. Individuals are rational calculators who weigh up costs and benefits when considering breaking the law.</w:t>
      </w:r>
      <w:r w:rsidR="00DE31AA">
        <w:rPr>
          <w:rStyle w:val="FootnoteReference"/>
          <w:rFonts w:ascii="Helvetica" w:hAnsi="Helvetica"/>
          <w:lang w:val="en-US"/>
        </w:rPr>
        <w:footnoteReference w:id="3"/>
      </w:r>
      <w:r w:rsidR="007D310E">
        <w:rPr>
          <w:rFonts w:ascii="Helvetica" w:hAnsi="Helvetica"/>
          <w:lang w:val="en-US"/>
        </w:rPr>
        <w:t xml:space="preserve"> This opportunity for fraud becomes even more tempting if coupled with other factors like poor government regulation or enforcement</w:t>
      </w:r>
      <w:r w:rsidR="00A8431E">
        <w:rPr>
          <w:rFonts w:ascii="Helvetica" w:hAnsi="Helvetica"/>
          <w:lang w:val="en-US"/>
        </w:rPr>
        <w:t xml:space="preserve"> (thereby decreasing the risk of detection)</w:t>
      </w:r>
      <w:r w:rsidR="007D310E">
        <w:rPr>
          <w:rFonts w:ascii="Helvetica" w:hAnsi="Helvetica"/>
          <w:lang w:val="en-US"/>
        </w:rPr>
        <w:t>,</w:t>
      </w:r>
      <w:r w:rsidR="001C0683">
        <w:rPr>
          <w:rFonts w:ascii="Helvetica" w:hAnsi="Helvetica"/>
          <w:lang w:val="en-US"/>
        </w:rPr>
        <w:t xml:space="preserve"> poor tax morale or </w:t>
      </w:r>
      <w:r w:rsidR="005F0D78">
        <w:rPr>
          <w:rFonts w:ascii="Helvetica" w:hAnsi="Helvetica"/>
          <w:lang w:val="en-US"/>
        </w:rPr>
        <w:t xml:space="preserve">just a general lack of social awareness and responsibility. </w:t>
      </w:r>
      <w:r w:rsidR="001F66F4">
        <w:rPr>
          <w:rFonts w:ascii="Helvetica" w:hAnsi="Helvetica"/>
          <w:lang w:val="en-US"/>
        </w:rPr>
        <w:t xml:space="preserve">Another factor is when </w:t>
      </w:r>
      <w:r w:rsidR="00C76DD4">
        <w:rPr>
          <w:rFonts w:ascii="Helvetica" w:hAnsi="Helvetica"/>
          <w:lang w:val="en-US"/>
        </w:rPr>
        <w:t xml:space="preserve">the conduct is </w:t>
      </w:r>
      <w:r w:rsidR="00190AAB">
        <w:rPr>
          <w:rFonts w:ascii="Helvetica" w:hAnsi="Helvetica"/>
          <w:lang w:val="en-US"/>
        </w:rPr>
        <w:t>so</w:t>
      </w:r>
      <w:r w:rsidR="00C76DD4">
        <w:rPr>
          <w:rFonts w:ascii="Helvetica" w:hAnsi="Helvetica"/>
          <w:lang w:val="en-US"/>
        </w:rPr>
        <w:t xml:space="preserve"> </w:t>
      </w:r>
      <w:r w:rsidR="000476EE">
        <w:rPr>
          <w:rFonts w:ascii="Helvetica" w:hAnsi="Helvetica"/>
          <w:lang w:val="en-US"/>
        </w:rPr>
        <w:t xml:space="preserve">prevalent that </w:t>
      </w:r>
      <w:r w:rsidR="003F33D3">
        <w:rPr>
          <w:rFonts w:ascii="Helvetica" w:hAnsi="Helvetica"/>
          <w:lang w:val="en-US"/>
        </w:rPr>
        <w:t xml:space="preserve">it becomes “socially acceptable” </w:t>
      </w:r>
      <w:r w:rsidR="00190AAB">
        <w:rPr>
          <w:rFonts w:ascii="Helvetica" w:hAnsi="Helvetica"/>
          <w:lang w:val="en-US"/>
        </w:rPr>
        <w:t>or, worse, it becomes expected</w:t>
      </w:r>
      <w:r w:rsidR="00936D46">
        <w:rPr>
          <w:rFonts w:ascii="Helvetica" w:hAnsi="Helvetica"/>
          <w:lang w:val="en-US"/>
        </w:rPr>
        <w:t xml:space="preserve"> </w:t>
      </w:r>
      <w:r w:rsidR="00566DEA">
        <w:rPr>
          <w:rFonts w:ascii="Helvetica" w:hAnsi="Helvetica"/>
          <w:lang w:val="en-US"/>
        </w:rPr>
        <w:t xml:space="preserve">practice </w:t>
      </w:r>
      <w:r w:rsidR="00936D46">
        <w:rPr>
          <w:rFonts w:ascii="Helvetica" w:hAnsi="Helvetica"/>
          <w:lang w:val="en-US"/>
        </w:rPr>
        <w:t xml:space="preserve">to the point that doing the right thing is </w:t>
      </w:r>
      <w:r w:rsidR="00FF2086">
        <w:rPr>
          <w:rFonts w:ascii="Helvetica" w:hAnsi="Helvetica"/>
          <w:lang w:val="en-US"/>
        </w:rPr>
        <w:t>surprising or frowned upon</w:t>
      </w:r>
      <w:r w:rsidR="00A61308">
        <w:rPr>
          <w:rFonts w:ascii="Helvetica" w:hAnsi="Helvetica"/>
          <w:lang w:val="en-US"/>
        </w:rPr>
        <w:t xml:space="preserve">. </w:t>
      </w:r>
    </w:p>
    <w:p w14:paraId="06E7D855" w14:textId="77777777" w:rsidR="00936D46" w:rsidRDefault="00936D46" w:rsidP="000066BE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</w:p>
    <w:p w14:paraId="55BFD8FA" w14:textId="77777777" w:rsidR="00F56ACF" w:rsidRDefault="00936D46" w:rsidP="00BD3269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Another ethical dimension to this </w:t>
      </w:r>
      <w:r w:rsidR="00C60D78">
        <w:rPr>
          <w:rFonts w:ascii="Helvetica" w:hAnsi="Helvetica"/>
          <w:lang w:val="en-US"/>
        </w:rPr>
        <w:t xml:space="preserve">issue, particularly on </w:t>
      </w:r>
      <w:r w:rsidR="00BD3269">
        <w:rPr>
          <w:rFonts w:ascii="Helvetica" w:hAnsi="Helvetica"/>
          <w:lang w:val="en-US"/>
        </w:rPr>
        <w:t>the matter of underreporting and underpayment of taxes</w:t>
      </w:r>
      <w:r w:rsidR="00C60D78">
        <w:rPr>
          <w:rFonts w:ascii="Helvetica" w:hAnsi="Helvetica"/>
          <w:lang w:val="en-US"/>
        </w:rPr>
        <w:t>, is the fact that there are many taxpayers, like compensation earners, who are paying the correct taxes</w:t>
      </w:r>
      <w:r w:rsidR="00BD3269">
        <w:rPr>
          <w:rFonts w:ascii="Helvetica" w:hAnsi="Helvetica"/>
          <w:lang w:val="en-US"/>
        </w:rPr>
        <w:t xml:space="preserve"> despite their meager income, while big companies earning </w:t>
      </w:r>
      <w:r w:rsidR="00F130D9">
        <w:rPr>
          <w:rFonts w:ascii="Helvetica" w:hAnsi="Helvetica"/>
          <w:lang w:val="en-US"/>
        </w:rPr>
        <w:t>millions or billions</w:t>
      </w:r>
      <w:r w:rsidR="00BD3269">
        <w:rPr>
          <w:rFonts w:ascii="Helvetica" w:hAnsi="Helvetica"/>
          <w:lang w:val="en-US"/>
        </w:rPr>
        <w:t xml:space="preserve"> of pesos have found a convenient way to </w:t>
      </w:r>
      <w:r>
        <w:rPr>
          <w:rFonts w:ascii="Helvetica" w:hAnsi="Helvetica"/>
          <w:lang w:val="en-US"/>
        </w:rPr>
        <w:t>defraud the government</w:t>
      </w:r>
      <w:r w:rsidR="00A61308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 xml:space="preserve">in </w:t>
      </w:r>
      <w:r w:rsidR="00A61308">
        <w:rPr>
          <w:rFonts w:ascii="Helvetica" w:hAnsi="Helvetica"/>
          <w:lang w:val="en-US"/>
        </w:rPr>
        <w:t>tax</w:t>
      </w:r>
      <w:r>
        <w:rPr>
          <w:rFonts w:ascii="Helvetica" w:hAnsi="Helvetica"/>
          <w:lang w:val="en-US"/>
        </w:rPr>
        <w:t>es</w:t>
      </w:r>
      <w:r w:rsidR="00F56ACF">
        <w:rPr>
          <w:rFonts w:ascii="Helvetica" w:hAnsi="Helvetica"/>
          <w:lang w:val="en-US"/>
        </w:rPr>
        <w:t>.</w:t>
      </w:r>
    </w:p>
    <w:p w14:paraId="1431B861" w14:textId="77777777" w:rsidR="00F56ACF" w:rsidRDefault="00F56ACF" w:rsidP="00BD3269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</w:p>
    <w:p w14:paraId="4E8EC7A3" w14:textId="5BA50444" w:rsidR="00EF7DF7" w:rsidRDefault="000D2EE7" w:rsidP="000D2EE7">
      <w:pPr>
        <w:pStyle w:val="NoSpacing"/>
        <w:spacing w:line="360" w:lineRule="auto"/>
        <w:ind w:firstLine="720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Companies which are using two sets of books should look into how this has impacted not just the company but all the stakeholders.</w:t>
      </w:r>
    </w:p>
    <w:p w14:paraId="64A19671" w14:textId="261562EA" w:rsidR="00D4366D" w:rsidRDefault="00D4366D" w:rsidP="00D4366D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557950E7" w14:textId="77777777" w:rsidR="00CA4B9B" w:rsidRDefault="00CA4B9B" w:rsidP="00076892">
      <w:pPr>
        <w:pStyle w:val="NoSpacing"/>
        <w:spacing w:line="360" w:lineRule="auto"/>
        <w:jc w:val="both"/>
        <w:rPr>
          <w:rFonts w:ascii="Helvetica" w:hAnsi="Helvetica"/>
          <w:b/>
          <w:bCs/>
          <w:u w:val="single"/>
          <w:lang w:val="en-US"/>
        </w:rPr>
      </w:pPr>
    </w:p>
    <w:p w14:paraId="62F29C7C" w14:textId="642E0B6D" w:rsidR="00076892" w:rsidRDefault="00D4366D" w:rsidP="00076892">
      <w:pPr>
        <w:pStyle w:val="NoSpacing"/>
        <w:spacing w:line="360" w:lineRule="auto"/>
        <w:jc w:val="both"/>
        <w:rPr>
          <w:rFonts w:ascii="Helvetica" w:hAnsi="Helvetica"/>
          <w:b/>
          <w:bCs/>
          <w:u w:val="single"/>
          <w:lang w:val="en-US"/>
        </w:rPr>
      </w:pPr>
      <w:r w:rsidRPr="00D4366D">
        <w:rPr>
          <w:rFonts w:ascii="Helvetica" w:hAnsi="Helvetica"/>
          <w:b/>
          <w:bCs/>
          <w:u w:val="single"/>
          <w:lang w:val="en-US"/>
        </w:rPr>
        <w:t>BIBLIOGRAPHY</w:t>
      </w:r>
    </w:p>
    <w:p w14:paraId="5453A895" w14:textId="77777777" w:rsidR="00076892" w:rsidRDefault="00076892" w:rsidP="00076892">
      <w:pPr>
        <w:pStyle w:val="NoSpacing"/>
        <w:spacing w:line="360" w:lineRule="auto"/>
        <w:jc w:val="both"/>
        <w:rPr>
          <w:rFonts w:ascii="Helvetica" w:hAnsi="Helvetica"/>
          <w:b/>
          <w:bCs/>
          <w:u w:val="single"/>
          <w:lang w:val="en-US"/>
        </w:rPr>
      </w:pPr>
    </w:p>
    <w:p w14:paraId="4304F8E3" w14:textId="45B0AF29" w:rsidR="00076892" w:rsidRDefault="00076892" w:rsidP="00076892">
      <w:pPr>
        <w:pStyle w:val="NoSpacing"/>
        <w:spacing w:line="360" w:lineRule="auto"/>
        <w:jc w:val="both"/>
        <w:rPr>
          <w:rFonts w:ascii="Helvetica" w:hAnsi="Helvetica"/>
        </w:rPr>
      </w:pPr>
      <w:r w:rsidRPr="00076892">
        <w:rPr>
          <w:rFonts w:ascii="Helvetica" w:hAnsi="Helvetica"/>
          <w:lang w:val="en-US"/>
        </w:rPr>
        <w:t xml:space="preserve">1. </w:t>
      </w:r>
      <w:r w:rsidRPr="00076892">
        <w:rPr>
          <w:rFonts w:ascii="Helvetica" w:hAnsi="Helvetica"/>
          <w:u w:val="single"/>
        </w:rPr>
        <w:t>Understanding the Tax Gap</w:t>
      </w:r>
      <w:r w:rsidRPr="00076892">
        <w:rPr>
          <w:rFonts w:ascii="Helvetica" w:hAnsi="Helvetica"/>
        </w:rPr>
        <w:t xml:space="preserve">, Mark J. Mazur, Alan H. Plumley and Alan H. </w:t>
      </w:r>
      <w:proofErr w:type="spellStart"/>
      <w:r w:rsidRPr="00076892">
        <w:rPr>
          <w:rFonts w:ascii="Helvetica" w:hAnsi="Helvetica"/>
        </w:rPr>
        <w:t>Plumpley</w:t>
      </w:r>
      <w:proofErr w:type="spellEnd"/>
      <w:r w:rsidRPr="00076892">
        <w:rPr>
          <w:rFonts w:ascii="Helvetica" w:hAnsi="Helvetica"/>
        </w:rPr>
        <w:t>; National Tax Journal, Vol. 60, No. 3, (</w:t>
      </w:r>
      <w:proofErr w:type="gramStart"/>
      <w:r w:rsidRPr="00076892">
        <w:rPr>
          <w:rFonts w:ascii="Helvetica" w:hAnsi="Helvetica"/>
        </w:rPr>
        <w:t>September,</w:t>
      </w:r>
      <w:proofErr w:type="gramEnd"/>
      <w:r w:rsidRPr="00076892">
        <w:rPr>
          <w:rFonts w:ascii="Helvetica" w:hAnsi="Helvetica"/>
        </w:rPr>
        <w:t xml:space="preserve"> 2007).</w:t>
      </w:r>
    </w:p>
    <w:p w14:paraId="5FE54A87" w14:textId="07DF3A2F" w:rsidR="00076892" w:rsidRDefault="00076892" w:rsidP="00076892">
      <w:pPr>
        <w:pStyle w:val="NoSpacing"/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Online link:</w:t>
      </w:r>
      <w:r w:rsidRPr="00076892">
        <w:t xml:space="preserve"> </w:t>
      </w:r>
      <w:r w:rsidRPr="00076892">
        <w:rPr>
          <w:rFonts w:ascii="Helvetica" w:hAnsi="Helvetica"/>
        </w:rPr>
        <w:t>https://www.jstor.org/stable/41790406?seq=1#page_scan_tab_contents</w:t>
      </w:r>
    </w:p>
    <w:p w14:paraId="40845059" w14:textId="77777777" w:rsidR="00076892" w:rsidRPr="00076892" w:rsidRDefault="00076892" w:rsidP="00076892">
      <w:pPr>
        <w:pStyle w:val="NoSpacing"/>
        <w:spacing w:line="360" w:lineRule="auto"/>
        <w:jc w:val="both"/>
        <w:rPr>
          <w:rFonts w:ascii="Helvetica" w:hAnsi="Helvetica"/>
          <w:b/>
          <w:bCs/>
          <w:lang w:val="en-US"/>
        </w:rPr>
      </w:pPr>
    </w:p>
    <w:p w14:paraId="068D09A3" w14:textId="19C7D892" w:rsidR="00076892" w:rsidRDefault="00076892" w:rsidP="00076892">
      <w:pPr>
        <w:pStyle w:val="NoSpacing"/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2. </w:t>
      </w:r>
      <w:r w:rsidRPr="00076892">
        <w:rPr>
          <w:rFonts w:ascii="Helvetica" w:hAnsi="Helvetica"/>
          <w:u w:val="single"/>
        </w:rPr>
        <w:t>Tax gap in the global economy</w:t>
      </w:r>
      <w:r w:rsidRPr="00076892">
        <w:rPr>
          <w:rFonts w:ascii="Helvetica" w:hAnsi="Helvetica"/>
        </w:rPr>
        <w:t xml:space="preserve">, Konrad </w:t>
      </w:r>
      <w:proofErr w:type="spellStart"/>
      <w:r w:rsidRPr="00076892">
        <w:rPr>
          <w:rFonts w:ascii="Helvetica" w:hAnsi="Helvetica"/>
        </w:rPr>
        <w:t>Raczkowski</w:t>
      </w:r>
      <w:proofErr w:type="spellEnd"/>
      <w:r w:rsidRPr="00076892">
        <w:rPr>
          <w:rFonts w:ascii="Helvetica" w:hAnsi="Helvetica"/>
        </w:rPr>
        <w:t xml:space="preserve"> and Bogdan </w:t>
      </w:r>
      <w:proofErr w:type="spellStart"/>
      <w:r w:rsidRPr="00076892">
        <w:rPr>
          <w:rFonts w:ascii="Helvetica" w:hAnsi="Helvetica"/>
        </w:rPr>
        <w:t>Mróz</w:t>
      </w:r>
      <w:proofErr w:type="spellEnd"/>
      <w:r w:rsidRPr="00076892">
        <w:rPr>
          <w:rFonts w:ascii="Helvetica" w:hAnsi="Helvetica"/>
        </w:rPr>
        <w:t>, December 2018.</w:t>
      </w:r>
    </w:p>
    <w:p w14:paraId="22CC150F" w14:textId="3D960516" w:rsidR="00076892" w:rsidRDefault="00076892" w:rsidP="00076892">
      <w:pPr>
        <w:pStyle w:val="NoSpacing"/>
        <w:spacing w:line="360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Online link: </w:t>
      </w:r>
      <w:hyperlink r:id="rId8" w:history="1">
        <w:r w:rsidRPr="00435CD3">
          <w:rPr>
            <w:rStyle w:val="Hyperlink"/>
            <w:rFonts w:ascii="Helvetica" w:hAnsi="Helvetica"/>
            <w:lang w:val="en-US"/>
          </w:rPr>
          <w:t>https://www.researchgate.net/publication/302335548_Tax_gap_in_the_global_economy</w:t>
        </w:r>
      </w:hyperlink>
    </w:p>
    <w:p w14:paraId="5FEB6FA9" w14:textId="77777777" w:rsidR="00076892" w:rsidRPr="00076892" w:rsidRDefault="00076892" w:rsidP="00076892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6A2BB479" w14:textId="2F4742B4" w:rsidR="00076892" w:rsidRDefault="00076892" w:rsidP="00076892">
      <w:pPr>
        <w:pStyle w:val="NoSpacing"/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  <w:lang w:val="en-US"/>
        </w:rPr>
        <w:t xml:space="preserve">3. </w:t>
      </w:r>
      <w:r w:rsidRPr="00076892">
        <w:rPr>
          <w:rFonts w:ascii="Helvetica" w:hAnsi="Helvetica"/>
          <w:u w:val="single"/>
        </w:rPr>
        <w:t>Underground Economies Around the World: What Did We Learn Over the Last 20 Years?</w:t>
      </w:r>
      <w:r>
        <w:rPr>
          <w:rFonts w:ascii="Helvetica" w:hAnsi="Helvetica"/>
        </w:rPr>
        <w:t xml:space="preserve"> </w:t>
      </w:r>
      <w:r w:rsidRPr="00076892">
        <w:rPr>
          <w:rFonts w:ascii="Helvetica" w:hAnsi="Helvetica"/>
        </w:rPr>
        <w:t>Leandro Medina and Friedrich Schneider, 2018.</w:t>
      </w:r>
    </w:p>
    <w:p w14:paraId="31E851E1" w14:textId="4901A89D" w:rsidR="00076892" w:rsidRDefault="00076892" w:rsidP="00076892">
      <w:pPr>
        <w:pStyle w:val="NoSpacing"/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Online link: </w:t>
      </w:r>
      <w:hyperlink r:id="rId9" w:history="1">
        <w:r w:rsidRPr="00435CD3">
          <w:rPr>
            <w:rStyle w:val="Hyperlink"/>
            <w:rFonts w:ascii="Helvetica" w:hAnsi="Helvetica"/>
          </w:rPr>
          <w:t>https://www.imf.org/en/Publications/WP/Issues/2018/01/25/Shadow-Economies-Around-the-World-What-Did-We-Learn-Over-the-Last-20-Years-45583</w:t>
        </w:r>
      </w:hyperlink>
    </w:p>
    <w:p w14:paraId="4AEAE703" w14:textId="77777777" w:rsidR="00076892" w:rsidRPr="00076892" w:rsidRDefault="00076892" w:rsidP="00076892">
      <w:pPr>
        <w:pStyle w:val="NoSpacing"/>
        <w:spacing w:line="360" w:lineRule="auto"/>
        <w:jc w:val="both"/>
        <w:rPr>
          <w:rFonts w:ascii="Helvetica" w:hAnsi="Helvetica"/>
          <w:b/>
          <w:bCs/>
          <w:u w:val="single"/>
          <w:lang w:val="en-US"/>
        </w:rPr>
      </w:pPr>
    </w:p>
    <w:p w14:paraId="4F8455B4" w14:textId="61AA0706" w:rsidR="00076892" w:rsidRDefault="00191A65" w:rsidP="00D4366D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Other sources:</w:t>
      </w:r>
    </w:p>
    <w:p w14:paraId="52DC4BC4" w14:textId="68538F31" w:rsidR="00191A65" w:rsidRDefault="00191A65" w:rsidP="00D4366D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68A947B4" w14:textId="1AC46EDD" w:rsidR="00191A65" w:rsidRDefault="00191A65" w:rsidP="00D4366D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1. </w:t>
      </w:r>
      <w:hyperlink r:id="rId10" w:history="1">
        <w:r w:rsidRPr="00435CD3">
          <w:rPr>
            <w:rStyle w:val="Hyperlink"/>
            <w:rFonts w:ascii="Helvetica" w:hAnsi="Helvetica"/>
            <w:lang w:val="en-US"/>
          </w:rPr>
          <w:t>https://en.wikipedia.org/wiki/Two_sets_of_books</w:t>
        </w:r>
      </w:hyperlink>
    </w:p>
    <w:p w14:paraId="7CDDCE6D" w14:textId="77777777" w:rsidR="00123611" w:rsidRDefault="00123611" w:rsidP="00D4366D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1D799927" w14:textId="012C47A0" w:rsidR="00191A65" w:rsidRDefault="00191A65" w:rsidP="00123611">
      <w:pPr>
        <w:pStyle w:val="NoSpacing"/>
        <w:spacing w:line="360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2. </w:t>
      </w:r>
      <w:r w:rsidR="00123611">
        <w:rPr>
          <w:rFonts w:ascii="Helvetica" w:hAnsi="Helvetica"/>
          <w:lang w:val="en-US"/>
        </w:rPr>
        <w:t>“</w:t>
      </w:r>
      <w:r w:rsidR="00123611" w:rsidRPr="00123611">
        <w:rPr>
          <w:rFonts w:ascii="Helvetica" w:hAnsi="Helvetica"/>
          <w:lang w:val="en-US"/>
        </w:rPr>
        <w:t>Corporations avoid taxes by keeping two sets of books</w:t>
      </w:r>
      <w:r w:rsidR="00123611">
        <w:rPr>
          <w:rFonts w:ascii="Helvetica" w:hAnsi="Helvetica"/>
          <w:lang w:val="en-US"/>
        </w:rPr>
        <w:t>”</w:t>
      </w:r>
      <w:r w:rsidR="00123611" w:rsidRPr="00123611">
        <w:rPr>
          <w:rFonts w:ascii="Helvetica" w:hAnsi="Helvetica"/>
          <w:lang w:val="en-US"/>
        </w:rPr>
        <w:t xml:space="preserve"> </w:t>
      </w:r>
      <w:hyperlink r:id="rId11" w:history="1">
        <w:r w:rsidR="00123611" w:rsidRPr="00435CD3">
          <w:rPr>
            <w:rStyle w:val="Hyperlink"/>
            <w:rFonts w:ascii="Helvetica" w:hAnsi="Helvetica"/>
            <w:lang w:val="en-US"/>
          </w:rPr>
          <w:t>http://usatoday30.usatoday.com/news/opinion/letters/2011-04-05-letters05_ST_N.htm</w:t>
        </w:r>
      </w:hyperlink>
    </w:p>
    <w:p w14:paraId="4E226882" w14:textId="77777777" w:rsidR="00123611" w:rsidRDefault="00123611" w:rsidP="00D4366D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p w14:paraId="71254A21" w14:textId="5690FF13" w:rsidR="00123611" w:rsidRPr="00D4366D" w:rsidRDefault="00123611" w:rsidP="00D4366D">
      <w:pPr>
        <w:pStyle w:val="NoSpacing"/>
        <w:spacing w:line="360" w:lineRule="auto"/>
        <w:jc w:val="both"/>
        <w:rPr>
          <w:rFonts w:ascii="Helvetica" w:hAnsi="Helvetica"/>
          <w:lang w:val="en-US"/>
        </w:rPr>
      </w:pPr>
    </w:p>
    <w:sectPr w:rsidR="00123611" w:rsidRPr="00D4366D" w:rsidSect="000066BE">
      <w:pgSz w:w="12240" w:h="187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86E9A" w14:textId="77777777" w:rsidR="004268F3" w:rsidRDefault="004268F3" w:rsidP="00CB6E8B">
      <w:r>
        <w:separator/>
      </w:r>
    </w:p>
  </w:endnote>
  <w:endnote w:type="continuationSeparator" w:id="0">
    <w:p w14:paraId="458B2649" w14:textId="77777777" w:rsidR="004268F3" w:rsidRDefault="004268F3" w:rsidP="00CB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54FB4" w14:textId="77777777" w:rsidR="004268F3" w:rsidRDefault="004268F3" w:rsidP="00CB6E8B">
      <w:r>
        <w:separator/>
      </w:r>
    </w:p>
  </w:footnote>
  <w:footnote w:type="continuationSeparator" w:id="0">
    <w:p w14:paraId="29ECCE80" w14:textId="77777777" w:rsidR="004268F3" w:rsidRDefault="004268F3" w:rsidP="00CB6E8B">
      <w:r>
        <w:continuationSeparator/>
      </w:r>
    </w:p>
  </w:footnote>
  <w:footnote w:id="1">
    <w:p w14:paraId="5C88101E" w14:textId="6D2A4A17" w:rsidR="00CB6E8B" w:rsidRPr="00CB6E8B" w:rsidRDefault="00CB6E8B" w:rsidP="00CB6E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6E8B">
        <w:rPr>
          <w:u w:val="single"/>
        </w:rPr>
        <w:t>Understanding the Tax Gap</w:t>
      </w:r>
      <w:r>
        <w:t xml:space="preserve">, Mark J. Mazur, Alan H. Plumley and Alan H. </w:t>
      </w:r>
      <w:proofErr w:type="spellStart"/>
      <w:r>
        <w:t>Plumpley</w:t>
      </w:r>
      <w:proofErr w:type="spellEnd"/>
      <w:r>
        <w:t>; National Tax Journal, Vol. 60, No. 3, (September, 2007).</w:t>
      </w:r>
    </w:p>
  </w:footnote>
  <w:footnote w:id="2">
    <w:p w14:paraId="2F64F62D" w14:textId="52B0F0F4" w:rsidR="00CB6E8B" w:rsidRPr="00CB6E8B" w:rsidRDefault="00CB6E8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B6E8B">
        <w:rPr>
          <w:u w:val="single"/>
        </w:rPr>
        <w:t>Tax gap in the global economy</w:t>
      </w:r>
      <w:r>
        <w:t xml:space="preserve">, Konrad </w:t>
      </w:r>
      <w:proofErr w:type="spellStart"/>
      <w:r>
        <w:t>Raczkowski</w:t>
      </w:r>
      <w:proofErr w:type="spellEnd"/>
      <w:r>
        <w:t xml:space="preserve"> and Bogdan </w:t>
      </w:r>
      <w:proofErr w:type="spellStart"/>
      <w:r>
        <w:t>Mróz</w:t>
      </w:r>
      <w:proofErr w:type="spellEnd"/>
      <w:r>
        <w:t>, December 2018.</w:t>
      </w:r>
    </w:p>
  </w:footnote>
  <w:footnote w:id="3">
    <w:p w14:paraId="6C7737DE" w14:textId="71591F28" w:rsidR="00DE31AA" w:rsidRPr="00DE31AA" w:rsidRDefault="00DE31A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00E60">
        <w:t>Leandro Medina and Friedrich Schneider, “</w:t>
      </w:r>
      <w:r>
        <w:t>Underground</w:t>
      </w:r>
      <w:r w:rsidRPr="00800E60">
        <w:t xml:space="preserve"> Economies Around the World: What Did We Learn Over the Last 20 Years?”, 2018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BE7"/>
    <w:multiLevelType w:val="hybridMultilevel"/>
    <w:tmpl w:val="5E06A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64"/>
    <w:rsid w:val="000066BE"/>
    <w:rsid w:val="000476EE"/>
    <w:rsid w:val="00076892"/>
    <w:rsid w:val="00082756"/>
    <w:rsid w:val="000B4DB5"/>
    <w:rsid w:val="000D2EE7"/>
    <w:rsid w:val="000D4361"/>
    <w:rsid w:val="00123611"/>
    <w:rsid w:val="001313F2"/>
    <w:rsid w:val="001344C3"/>
    <w:rsid w:val="00145774"/>
    <w:rsid w:val="00190AAB"/>
    <w:rsid w:val="00191A65"/>
    <w:rsid w:val="001A73D8"/>
    <w:rsid w:val="001C0683"/>
    <w:rsid w:val="001F66F4"/>
    <w:rsid w:val="002F0BDE"/>
    <w:rsid w:val="002F4FCB"/>
    <w:rsid w:val="003728FB"/>
    <w:rsid w:val="003D6763"/>
    <w:rsid w:val="003F33D3"/>
    <w:rsid w:val="004268F3"/>
    <w:rsid w:val="00432C19"/>
    <w:rsid w:val="0044514B"/>
    <w:rsid w:val="004D6685"/>
    <w:rsid w:val="005065B7"/>
    <w:rsid w:val="00531752"/>
    <w:rsid w:val="00566DEA"/>
    <w:rsid w:val="005F0D78"/>
    <w:rsid w:val="00624ED8"/>
    <w:rsid w:val="00654F24"/>
    <w:rsid w:val="006709F6"/>
    <w:rsid w:val="006901FF"/>
    <w:rsid w:val="006F6C82"/>
    <w:rsid w:val="0078350C"/>
    <w:rsid w:val="00793E18"/>
    <w:rsid w:val="007B1DF6"/>
    <w:rsid w:val="007D104D"/>
    <w:rsid w:val="007D310E"/>
    <w:rsid w:val="007E1333"/>
    <w:rsid w:val="00825811"/>
    <w:rsid w:val="00836404"/>
    <w:rsid w:val="00907FA6"/>
    <w:rsid w:val="00932E27"/>
    <w:rsid w:val="00936D46"/>
    <w:rsid w:val="00993D7C"/>
    <w:rsid w:val="009E2764"/>
    <w:rsid w:val="009E713F"/>
    <w:rsid w:val="00A11244"/>
    <w:rsid w:val="00A40512"/>
    <w:rsid w:val="00A448F2"/>
    <w:rsid w:val="00A61308"/>
    <w:rsid w:val="00A8431E"/>
    <w:rsid w:val="00AB2256"/>
    <w:rsid w:val="00AE3639"/>
    <w:rsid w:val="00AE51AD"/>
    <w:rsid w:val="00B26D15"/>
    <w:rsid w:val="00B7701A"/>
    <w:rsid w:val="00BC3902"/>
    <w:rsid w:val="00BD3269"/>
    <w:rsid w:val="00C0671C"/>
    <w:rsid w:val="00C14E02"/>
    <w:rsid w:val="00C60D78"/>
    <w:rsid w:val="00C76DD4"/>
    <w:rsid w:val="00C86DCD"/>
    <w:rsid w:val="00C94C8A"/>
    <w:rsid w:val="00CA4B9B"/>
    <w:rsid w:val="00CB1D3D"/>
    <w:rsid w:val="00CB6E8B"/>
    <w:rsid w:val="00CD05AC"/>
    <w:rsid w:val="00CE3EDC"/>
    <w:rsid w:val="00D14BC0"/>
    <w:rsid w:val="00D26BCE"/>
    <w:rsid w:val="00D34E03"/>
    <w:rsid w:val="00D4366D"/>
    <w:rsid w:val="00D454F5"/>
    <w:rsid w:val="00DA43B6"/>
    <w:rsid w:val="00DD0B0B"/>
    <w:rsid w:val="00DD68E0"/>
    <w:rsid w:val="00DE31AA"/>
    <w:rsid w:val="00E0372F"/>
    <w:rsid w:val="00E47A1F"/>
    <w:rsid w:val="00EA0F35"/>
    <w:rsid w:val="00EC0CEB"/>
    <w:rsid w:val="00EF4A1C"/>
    <w:rsid w:val="00EF7DF7"/>
    <w:rsid w:val="00F130D9"/>
    <w:rsid w:val="00F56ACF"/>
    <w:rsid w:val="00F8443F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15A7"/>
  <w15:chartTrackingRefBased/>
  <w15:docId w15:val="{D80AE709-83C7-5F4F-BD3F-9254652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764"/>
  </w:style>
  <w:style w:type="paragraph" w:styleId="EndnoteText">
    <w:name w:val="endnote text"/>
    <w:basedOn w:val="Normal"/>
    <w:link w:val="EndnoteTextChar"/>
    <w:uiPriority w:val="99"/>
    <w:semiHidden/>
    <w:unhideWhenUsed/>
    <w:rsid w:val="00CB6E8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6E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6E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3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E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3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902"/>
  </w:style>
  <w:style w:type="paragraph" w:styleId="Footer">
    <w:name w:val="footer"/>
    <w:basedOn w:val="Normal"/>
    <w:link w:val="FooterChar"/>
    <w:uiPriority w:val="99"/>
    <w:unhideWhenUsed/>
    <w:rsid w:val="00BC3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902"/>
  </w:style>
  <w:style w:type="character" w:styleId="FollowedHyperlink">
    <w:name w:val="FollowedHyperlink"/>
    <w:basedOn w:val="DefaultParagraphFont"/>
    <w:uiPriority w:val="99"/>
    <w:semiHidden/>
    <w:unhideWhenUsed/>
    <w:rsid w:val="001236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02335548_Tax_gap_in_the_global_econo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atoday30.usatoday.com/news/opinion/letters/2011-04-05-letters05_ST_N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Two_sets_of_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f.org/en/Publications/WP/Issues/2018/01/25/Shadow-Economies-Around-the-World-What-Did-We-Learn-Over-the-Last-20-Years-45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2817CE-5E5F-1C46-A573-30E343A0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a13501</dc:creator>
  <cp:keywords/>
  <dc:description/>
  <cp:lastModifiedBy>a13501</cp:lastModifiedBy>
  <cp:revision>2</cp:revision>
  <dcterms:created xsi:type="dcterms:W3CDTF">2019-11-16T04:48:00Z</dcterms:created>
  <dcterms:modified xsi:type="dcterms:W3CDTF">2019-11-16T04:48:00Z</dcterms:modified>
</cp:coreProperties>
</file>